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946" w:rsidRPr="00681CA3" w:rsidRDefault="00E26946" w:rsidP="00E26946">
      <w:pPr>
        <w:pStyle w:val="Title1COST"/>
        <w:jc w:val="center"/>
      </w:pPr>
      <w:r>
        <w:t xml:space="preserve">SHORT TERM SCIENTIFIC MISSION (STSM) – SCIENTIFIC </w:t>
      </w:r>
      <w:r w:rsidRPr="00681CA3">
        <w:t>REPORT</w:t>
      </w:r>
    </w:p>
    <w:p w:rsidR="00E26946" w:rsidRPr="00681CA3" w:rsidRDefault="00E26946" w:rsidP="00E26946">
      <w:pPr>
        <w:jc w:val="center"/>
        <w:rPr>
          <w:rFonts w:cs="Arial"/>
          <w:u w:val="single"/>
          <w:lang w:eastAsia="en-GB"/>
        </w:rPr>
      </w:pPr>
    </w:p>
    <w:p w:rsidR="00E26946" w:rsidRDefault="00E26946" w:rsidP="00E26946">
      <w:pPr>
        <w:pStyle w:val="Title2"/>
        <w:jc w:val="center"/>
        <w:rPr>
          <w:sz w:val="22"/>
        </w:rPr>
      </w:pPr>
      <w:r w:rsidRPr="001905B6">
        <w:rPr>
          <w:sz w:val="22"/>
        </w:rPr>
        <w:t xml:space="preserve">The STSM applicant submits this report for approval to the STSM coordinator </w:t>
      </w:r>
    </w:p>
    <w:p w:rsidR="00E26946" w:rsidRDefault="00E26946" w:rsidP="00E26946">
      <w:pPr>
        <w:pStyle w:val="Title2"/>
        <w:jc w:val="center"/>
        <w:rPr>
          <w:sz w:val="22"/>
        </w:rPr>
      </w:pPr>
    </w:p>
    <w:p w:rsidR="00E26946" w:rsidRDefault="00E26946" w:rsidP="00E26946">
      <w:pPr>
        <w:pStyle w:val="Title2"/>
        <w:jc w:val="center"/>
        <w:rPr>
          <w:sz w:val="22"/>
        </w:rPr>
      </w:pPr>
    </w:p>
    <w:p w:rsidR="00E26946" w:rsidRDefault="00E26946" w:rsidP="00E26946">
      <w:pPr>
        <w:pStyle w:val="Title2"/>
        <w:rPr>
          <w:sz w:val="22"/>
        </w:rPr>
      </w:pPr>
      <w:r>
        <w:rPr>
          <w:sz w:val="22"/>
        </w:rPr>
        <w:t xml:space="preserve">Action number: </w:t>
      </w:r>
      <w:r w:rsidR="00F55A31">
        <w:rPr>
          <w:sz w:val="22"/>
        </w:rPr>
        <w:t>FP1405</w:t>
      </w:r>
    </w:p>
    <w:p w:rsidR="00E26946" w:rsidRDefault="00E26946" w:rsidP="00E26946">
      <w:pPr>
        <w:pStyle w:val="Title2"/>
        <w:rPr>
          <w:sz w:val="22"/>
        </w:rPr>
      </w:pPr>
      <w:r>
        <w:rPr>
          <w:sz w:val="22"/>
        </w:rPr>
        <w:t>STSM title:</w:t>
      </w:r>
      <w:r w:rsidR="00F55A31">
        <w:rPr>
          <w:sz w:val="22"/>
        </w:rPr>
        <w:t xml:space="preserve"> Targeted communication of active and intelligent packaging for food.</w:t>
      </w:r>
    </w:p>
    <w:p w:rsidR="00E26946" w:rsidRDefault="00E26946" w:rsidP="00E26946">
      <w:pPr>
        <w:pStyle w:val="Title2"/>
        <w:rPr>
          <w:sz w:val="22"/>
        </w:rPr>
      </w:pPr>
      <w:r>
        <w:rPr>
          <w:sz w:val="22"/>
        </w:rPr>
        <w:t xml:space="preserve">STSM start and end date: </w:t>
      </w:r>
      <w:r w:rsidR="00453551">
        <w:rPr>
          <w:sz w:val="22"/>
        </w:rPr>
        <w:t>20</w:t>
      </w:r>
      <w:r>
        <w:rPr>
          <w:sz w:val="22"/>
        </w:rPr>
        <w:t>/</w:t>
      </w:r>
      <w:r w:rsidR="00453551">
        <w:rPr>
          <w:sz w:val="22"/>
        </w:rPr>
        <w:t>08</w:t>
      </w:r>
      <w:r>
        <w:rPr>
          <w:sz w:val="22"/>
        </w:rPr>
        <w:t>/</w:t>
      </w:r>
      <w:r w:rsidR="00453551">
        <w:rPr>
          <w:sz w:val="22"/>
        </w:rPr>
        <w:t>2018</w:t>
      </w:r>
      <w:r>
        <w:rPr>
          <w:sz w:val="22"/>
        </w:rPr>
        <w:t xml:space="preserve"> to </w:t>
      </w:r>
      <w:r w:rsidR="0018412A">
        <w:rPr>
          <w:sz w:val="22"/>
        </w:rPr>
        <w:t>07</w:t>
      </w:r>
      <w:r>
        <w:rPr>
          <w:sz w:val="22"/>
        </w:rPr>
        <w:t>/</w:t>
      </w:r>
      <w:r w:rsidR="0018412A">
        <w:rPr>
          <w:sz w:val="22"/>
        </w:rPr>
        <w:t>09</w:t>
      </w:r>
      <w:r>
        <w:rPr>
          <w:sz w:val="22"/>
        </w:rPr>
        <w:t>/</w:t>
      </w:r>
      <w:r w:rsidR="0018412A">
        <w:rPr>
          <w:sz w:val="22"/>
        </w:rPr>
        <w:t>2018</w:t>
      </w:r>
    </w:p>
    <w:p w:rsidR="00E26946" w:rsidRPr="001905B6" w:rsidRDefault="00E26946" w:rsidP="00E26946">
      <w:pPr>
        <w:pStyle w:val="Title2"/>
        <w:rPr>
          <w:sz w:val="22"/>
        </w:rPr>
      </w:pPr>
      <w:r>
        <w:rPr>
          <w:sz w:val="22"/>
        </w:rPr>
        <w:t xml:space="preserve">Grantee name: </w:t>
      </w:r>
      <w:r w:rsidR="0018412A">
        <w:rPr>
          <w:sz w:val="22"/>
        </w:rPr>
        <w:t>Dr Katherine Flynn</w:t>
      </w:r>
    </w:p>
    <w:p w:rsidR="00E26946" w:rsidRPr="00681CA3" w:rsidRDefault="00E26946" w:rsidP="00E26946">
      <w:pPr>
        <w:rPr>
          <w:rFonts w:cs="Arial"/>
          <w:u w:val="single"/>
          <w:lang w:eastAsia="en-GB"/>
        </w:rPr>
      </w:pPr>
    </w:p>
    <w:tbl>
      <w:tblPr>
        <w:tblStyle w:val="Tabela-mrea"/>
        <w:tblW w:w="9672" w:type="dxa"/>
        <w:tblInd w:w="-5" w:type="dxa"/>
        <w:tblLook w:val="04A0"/>
      </w:tblPr>
      <w:tblGrid>
        <w:gridCol w:w="9672"/>
      </w:tblGrid>
      <w:tr w:rsidR="00E26946" w:rsidRPr="00681CA3" w:rsidTr="001F7EB0">
        <w:tc>
          <w:tcPr>
            <w:tcW w:w="9672" w:type="dxa"/>
            <w:tcBorders>
              <w:bottom w:val="nil"/>
            </w:tcBorders>
          </w:tcPr>
          <w:p w:rsidR="00E26946" w:rsidRPr="00E26946" w:rsidRDefault="00E26946" w:rsidP="001F7EB0">
            <w:pPr>
              <w:rPr>
                <w:b/>
                <w:u w:val="single"/>
              </w:rPr>
            </w:pPr>
            <w:r>
              <w:rPr>
                <w:b/>
                <w:u w:val="single"/>
              </w:rPr>
              <w:t>PURPOSE OF THE STSM</w:t>
            </w:r>
          </w:p>
        </w:tc>
      </w:tr>
      <w:tr w:rsidR="00E26946" w:rsidRPr="00681CA3" w:rsidTr="001F7EB0">
        <w:tc>
          <w:tcPr>
            <w:tcW w:w="9672" w:type="dxa"/>
            <w:tcBorders>
              <w:top w:val="nil"/>
              <w:bottom w:val="single" w:sz="4" w:space="0" w:color="auto"/>
            </w:tcBorders>
          </w:tcPr>
          <w:p w:rsidR="00AF6ACF" w:rsidRDefault="00AF6ACF" w:rsidP="00AF6ACF">
            <w:pPr>
              <w:rPr>
                <w:rFonts w:asciiTheme="minorHAnsi" w:eastAsiaTheme="minorHAnsi" w:hAnsiTheme="minorHAnsi"/>
                <w:color w:val="auto"/>
                <w:lang w:val="en-US"/>
              </w:rPr>
            </w:pPr>
            <w:r>
              <w:t xml:space="preserve">The purpose of this STSM was to collaborate with a group expert in science communication strategies, to choose best methods for communicating </w:t>
            </w:r>
            <w:proofErr w:type="spellStart"/>
            <w:r>
              <w:t>ActInPak</w:t>
            </w:r>
            <w:proofErr w:type="spellEnd"/>
            <w:r>
              <w:t xml:space="preserve"> results and to draft at least 1 communication.</w:t>
            </w:r>
          </w:p>
          <w:p w:rsidR="00AF6ACF" w:rsidRDefault="00AF6ACF" w:rsidP="00AF6ACF">
            <w:pPr>
              <w:rPr>
                <w:b/>
              </w:rPr>
            </w:pPr>
            <w:r>
              <w:t xml:space="preserve">The </w:t>
            </w:r>
            <w:proofErr w:type="spellStart"/>
            <w:r>
              <w:t>ActInPak</w:t>
            </w:r>
            <w:proofErr w:type="spellEnd"/>
            <w:r>
              <w:t xml:space="preserve"> COST Action has generated a lot of scientific knowledge, followed by several publications in peer-reviewed journals. However, dissemination to non-scientists has been limited. Scientists are routinely viewed as poor communicators. The layperson might throw up their hands in frustration claiming that scientists always change their mind, or they might politely nod off because they stopped understanding in the first sentence. Yet, in our increasingly technological world, the successful communication of science and technology to the public is of critical importance. Despite this need, scientists tend not to be trained in communication. Our communication with non-experts is widely recognized as very poor quality and even our communication with other scientists often leaves much to be desired. </w:t>
            </w:r>
            <w:r>
              <w:rPr>
                <w:b/>
              </w:rPr>
              <w:t xml:space="preserve">This STSM was motivated by a desire to improve communication of food science in general and specifically to improve communication of the </w:t>
            </w:r>
            <w:proofErr w:type="spellStart"/>
            <w:r>
              <w:rPr>
                <w:b/>
              </w:rPr>
              <w:t>ActInPak</w:t>
            </w:r>
            <w:proofErr w:type="spellEnd"/>
            <w:r>
              <w:rPr>
                <w:b/>
              </w:rPr>
              <w:t xml:space="preserve"> results to the food-buying public.</w:t>
            </w:r>
          </w:p>
          <w:p w:rsidR="00E26946" w:rsidRPr="0018412A" w:rsidRDefault="00AF6ACF" w:rsidP="00453551">
            <w:r>
              <w:t xml:space="preserve">The objective of </w:t>
            </w:r>
            <w:proofErr w:type="spellStart"/>
            <w:r>
              <w:t>ActInPak</w:t>
            </w:r>
            <w:proofErr w:type="spellEnd"/>
            <w:r>
              <w:t xml:space="preserve"> is to “develop a network to overcome the obstacles which limit the deployment of active and intelligent packaging”. It is acknowledged that among those obstacles, are </w:t>
            </w:r>
            <w:proofErr w:type="spellStart"/>
            <w:r w:rsidR="00453551">
              <w:t>i</w:t>
            </w:r>
            <w:proofErr w:type="spellEnd"/>
            <w:r w:rsidR="00453551">
              <w:t xml:space="preserve">) </w:t>
            </w:r>
            <w:r>
              <w:t xml:space="preserve">the gap between science and industry and </w:t>
            </w:r>
            <w:r w:rsidR="00453551">
              <w:t>ii) t</w:t>
            </w:r>
            <w:r>
              <w:t xml:space="preserve">he consumers’ lack of familiarity with active and intelligent packaging. These obstacles </w:t>
            </w:r>
            <w:r w:rsidR="0018412A">
              <w:t>were</w:t>
            </w:r>
            <w:r>
              <w:t xml:space="preserve"> addressed by this STSM, which focussed on</w:t>
            </w:r>
            <w:r w:rsidR="00453551">
              <w:t xml:space="preserve"> identifying e</w:t>
            </w:r>
            <w:r>
              <w:t>ffective methods of communicating science to non-experts.</w:t>
            </w:r>
            <w:r w:rsidR="00453551">
              <w:t xml:space="preserve"> </w:t>
            </w:r>
            <w:r>
              <w:t>F</w:t>
            </w:r>
            <w:r w:rsidR="00453551">
              <w:t>inally</w:t>
            </w:r>
            <w:r>
              <w:t xml:space="preserve">, the STSM </w:t>
            </w:r>
            <w:r w:rsidR="00453551">
              <w:t xml:space="preserve">aimed to bring a group expert in science communication into the </w:t>
            </w:r>
            <w:proofErr w:type="spellStart"/>
            <w:r w:rsidR="00453551">
              <w:t>ActInPak</w:t>
            </w:r>
            <w:proofErr w:type="spellEnd"/>
            <w:r w:rsidR="00453551">
              <w:t xml:space="preserve"> network and, perhaps, into future collaborations</w:t>
            </w:r>
            <w:r w:rsidR="00496AF2">
              <w:t xml:space="preserve"> with packaging scientists</w:t>
            </w:r>
            <w:r w:rsidR="00453551">
              <w:t>.</w:t>
            </w:r>
            <w:r>
              <w:t xml:space="preserve">  </w:t>
            </w:r>
          </w:p>
        </w:tc>
      </w:tr>
    </w:tbl>
    <w:p w:rsidR="00E26946" w:rsidRPr="00681CA3" w:rsidRDefault="00E26946" w:rsidP="00E26946">
      <w:pPr>
        <w:rPr>
          <w:rFonts w:cs="Arial"/>
          <w:lang w:eastAsia="en-GB"/>
        </w:rPr>
      </w:pPr>
    </w:p>
    <w:tbl>
      <w:tblPr>
        <w:tblStyle w:val="Tabela-mrea"/>
        <w:tblW w:w="9672" w:type="dxa"/>
        <w:tblInd w:w="-5" w:type="dxa"/>
        <w:tblLook w:val="04A0"/>
      </w:tblPr>
      <w:tblGrid>
        <w:gridCol w:w="9672"/>
      </w:tblGrid>
      <w:tr w:rsidR="00E26946" w:rsidRPr="00681CA3" w:rsidTr="001F7EB0">
        <w:tc>
          <w:tcPr>
            <w:tcW w:w="9672" w:type="dxa"/>
            <w:tcBorders>
              <w:bottom w:val="nil"/>
            </w:tcBorders>
          </w:tcPr>
          <w:p w:rsidR="00E26946" w:rsidRPr="00E26946" w:rsidRDefault="00E26946" w:rsidP="001F7EB0">
            <w:pPr>
              <w:rPr>
                <w:b/>
                <w:u w:val="single"/>
              </w:rPr>
            </w:pPr>
            <w:r>
              <w:rPr>
                <w:b/>
                <w:u w:val="single"/>
              </w:rPr>
              <w:t>DESCRIPTION OF WORK CARRIED OUT DURING THE STSM</w:t>
            </w:r>
          </w:p>
        </w:tc>
      </w:tr>
      <w:tr w:rsidR="00E26946" w:rsidRPr="00681CA3" w:rsidTr="001F7EB0">
        <w:tc>
          <w:tcPr>
            <w:tcW w:w="9672" w:type="dxa"/>
            <w:tcBorders>
              <w:top w:val="nil"/>
              <w:bottom w:val="single" w:sz="4" w:space="0" w:color="auto"/>
            </w:tcBorders>
          </w:tcPr>
          <w:p w:rsidR="0018412A" w:rsidRDefault="0018412A" w:rsidP="0018412A">
            <w:r>
              <w:t>Contact with the STSM host, Dr Padraig Murphy</w:t>
            </w:r>
            <w:r w:rsidR="007B2731">
              <w:t>,</w:t>
            </w:r>
            <w:r>
              <w:t xml:space="preserve"> Chair of the </w:t>
            </w:r>
            <w:r w:rsidR="004F7609">
              <w:t>Science</w:t>
            </w:r>
            <w:r>
              <w:t xml:space="preserve"> Communications </w:t>
            </w:r>
            <w:r w:rsidR="004F7609">
              <w:t xml:space="preserve">programme </w:t>
            </w:r>
            <w:r>
              <w:t>at Dublin City University</w:t>
            </w:r>
            <w:r w:rsidR="004F7609">
              <w:t xml:space="preserve"> (DCU)</w:t>
            </w:r>
            <w:r>
              <w:t>, was by internet and telephone before the start of the STSM. Thus, the host and the grantee met for the first time at Dublin City University when the STSM began.</w:t>
            </w:r>
          </w:p>
          <w:p w:rsidR="0018412A" w:rsidRDefault="0018412A" w:rsidP="0018412A">
            <w:r>
              <w:t xml:space="preserve">The first week </w:t>
            </w:r>
            <w:r w:rsidR="00453551">
              <w:t xml:space="preserve">of the </w:t>
            </w:r>
            <w:r w:rsidR="00496AF2">
              <w:t>STSM</w:t>
            </w:r>
            <w:r w:rsidR="00453551">
              <w:t xml:space="preserve"> </w:t>
            </w:r>
            <w:r>
              <w:t xml:space="preserve">was dedicated to a review of science communication literature and methods used by Dr Murphy’s </w:t>
            </w:r>
            <w:r w:rsidR="00453551">
              <w:t>research team</w:t>
            </w:r>
            <w:r w:rsidR="00AE35C8">
              <w:t>. Particular attention was given to methods</w:t>
            </w:r>
            <w:r>
              <w:t xml:space="preserve"> </w:t>
            </w:r>
            <w:r w:rsidR="00E434F7">
              <w:t>which</w:t>
            </w:r>
            <w:r>
              <w:t xml:space="preserve"> involve </w:t>
            </w:r>
            <w:r w:rsidR="00453551">
              <w:t>a defined</w:t>
            </w:r>
            <w:r>
              <w:t xml:space="preserve"> target group in formation of</w:t>
            </w:r>
            <w:r w:rsidR="00E434F7">
              <w:t xml:space="preserve"> a</w:t>
            </w:r>
            <w:r>
              <w:t xml:space="preserve"> scientific communication that will be geared towards them. </w:t>
            </w:r>
            <w:r w:rsidR="00453551">
              <w:t>A thorough</w:t>
            </w:r>
            <w:r w:rsidR="000502B0">
              <w:t xml:space="preserve"> </w:t>
            </w:r>
            <w:r w:rsidR="000502B0">
              <w:lastRenderedPageBreak/>
              <w:t xml:space="preserve">literature review was trimmed to 8 </w:t>
            </w:r>
            <w:r w:rsidR="00496AF2">
              <w:t xml:space="preserve">crucial </w:t>
            </w:r>
            <w:r w:rsidR="000502B0">
              <w:t xml:space="preserve">articles in the past 5 years from the following journals – Canadian Journal of Nursing Research, Qualitative Research, Journal of Environmental Psychology, Wageningen Journal of Life Sciences, Health Expectations, British Food Journal, Public Health and Nature Biotechnology. I name the journals to show how they address the interface between communication and food science. </w:t>
            </w:r>
            <w:r w:rsidR="00801FBE">
              <w:t xml:space="preserve">A </w:t>
            </w:r>
            <w:r w:rsidR="00A73F3B">
              <w:t>summary of the articles and their methods, including benefits and drawbacks in the communication of active and intelligent packaging, was prepared</w:t>
            </w:r>
            <w:r w:rsidR="00801FBE">
              <w:t xml:space="preserve"> by the grantee and reviewed </w:t>
            </w:r>
            <w:r w:rsidR="00AE35C8">
              <w:t xml:space="preserve">and discussed together </w:t>
            </w:r>
            <w:r w:rsidR="00801FBE">
              <w:t>with Dr Murphy.</w:t>
            </w:r>
          </w:p>
          <w:p w:rsidR="005321FD" w:rsidRPr="002A6783" w:rsidRDefault="005321FD" w:rsidP="005321FD">
            <w:pPr>
              <w:rPr>
                <w:b/>
              </w:rPr>
            </w:pPr>
            <w:r>
              <w:rPr>
                <w:b/>
              </w:rPr>
              <w:t xml:space="preserve">Public Involvement in Targeted </w:t>
            </w:r>
            <w:r w:rsidRPr="002A6783">
              <w:rPr>
                <w:b/>
              </w:rPr>
              <w:t>Scientific Communication</w:t>
            </w:r>
            <w:r>
              <w:rPr>
                <w:b/>
              </w:rPr>
              <w:t>, Amended Literature Review</w:t>
            </w:r>
          </w:p>
          <w:tbl>
            <w:tblPr>
              <w:tblStyle w:val="Tabela-mrea"/>
              <w:tblW w:w="0" w:type="auto"/>
              <w:tblLook w:val="04A0"/>
            </w:tblPr>
            <w:tblGrid>
              <w:gridCol w:w="2203"/>
              <w:gridCol w:w="2192"/>
              <w:gridCol w:w="1797"/>
              <w:gridCol w:w="3254"/>
            </w:tblGrid>
            <w:tr w:rsidR="005321FD" w:rsidTr="00B24378">
              <w:tc>
                <w:tcPr>
                  <w:tcW w:w="2830" w:type="dxa"/>
                </w:tcPr>
                <w:p w:rsidR="005321FD" w:rsidRPr="0052448E" w:rsidRDefault="005321FD" w:rsidP="005321FD">
                  <w:pPr>
                    <w:rPr>
                      <w:b/>
                    </w:rPr>
                  </w:pPr>
                  <w:r w:rsidRPr="0052448E">
                    <w:rPr>
                      <w:b/>
                    </w:rPr>
                    <w:t>METHODOLOGY</w:t>
                  </w:r>
                </w:p>
              </w:tc>
              <w:tc>
                <w:tcPr>
                  <w:tcW w:w="2977" w:type="dxa"/>
                </w:tcPr>
                <w:p w:rsidR="005321FD" w:rsidRPr="0052448E" w:rsidRDefault="005321FD" w:rsidP="005321FD">
                  <w:pPr>
                    <w:rPr>
                      <w:b/>
                    </w:rPr>
                  </w:pPr>
                  <w:r>
                    <w:rPr>
                      <w:b/>
                    </w:rPr>
                    <w:t>PARTICIPANTS</w:t>
                  </w:r>
                </w:p>
              </w:tc>
              <w:tc>
                <w:tcPr>
                  <w:tcW w:w="2693" w:type="dxa"/>
                </w:tcPr>
                <w:p w:rsidR="005321FD" w:rsidRPr="0052448E" w:rsidRDefault="005321FD" w:rsidP="005321FD">
                  <w:pPr>
                    <w:rPr>
                      <w:b/>
                    </w:rPr>
                  </w:pPr>
                  <w:r>
                    <w:rPr>
                      <w:b/>
                    </w:rPr>
                    <w:t>ANALYSIS</w:t>
                  </w:r>
                </w:p>
              </w:tc>
              <w:tc>
                <w:tcPr>
                  <w:tcW w:w="5448" w:type="dxa"/>
                </w:tcPr>
                <w:p w:rsidR="005321FD" w:rsidRPr="0052448E" w:rsidRDefault="005321FD" w:rsidP="005321FD">
                  <w:pPr>
                    <w:rPr>
                      <w:b/>
                    </w:rPr>
                  </w:pPr>
                  <w:r w:rsidRPr="0052448E">
                    <w:rPr>
                      <w:b/>
                    </w:rPr>
                    <w:t>REFERENCE</w:t>
                  </w:r>
                </w:p>
              </w:tc>
            </w:tr>
            <w:tr w:rsidR="005321FD" w:rsidTr="00B24378">
              <w:tc>
                <w:tcPr>
                  <w:tcW w:w="2830" w:type="dxa"/>
                </w:tcPr>
                <w:p w:rsidR="005321FD" w:rsidRDefault="005321FD" w:rsidP="005321FD">
                  <w:r>
                    <w:t>2 focus groups each, with 4 different groups of participants</w:t>
                  </w:r>
                </w:p>
              </w:tc>
              <w:tc>
                <w:tcPr>
                  <w:tcW w:w="2977" w:type="dxa"/>
                </w:tcPr>
                <w:p w:rsidR="005321FD" w:rsidRDefault="005321FD" w:rsidP="005321FD">
                  <w:r>
                    <w:t>43 Canadian youth: 18 girls and 25 boys between 12 and 17 years old</w:t>
                  </w:r>
                </w:p>
              </w:tc>
              <w:tc>
                <w:tcPr>
                  <w:tcW w:w="2693" w:type="dxa"/>
                </w:tcPr>
                <w:p w:rsidR="005321FD" w:rsidRPr="00493351" w:rsidRDefault="005321FD" w:rsidP="005321FD">
                  <w:pPr>
                    <w:jc w:val="left"/>
                  </w:pPr>
                  <w:r>
                    <w:t>Data-driven inductive approach to thematic analysis</w:t>
                  </w:r>
                </w:p>
              </w:tc>
              <w:tc>
                <w:tcPr>
                  <w:tcW w:w="5448" w:type="dxa"/>
                </w:tcPr>
                <w:p w:rsidR="005321FD" w:rsidRDefault="005321FD" w:rsidP="005321FD">
                  <w:r w:rsidRPr="00493351">
                    <w:rPr>
                      <w:lang w:val="fr-FR"/>
                    </w:rPr>
                    <w:t xml:space="preserve">Bottorff, J.L. </w:t>
                  </w:r>
                  <w:r w:rsidRPr="00676094">
                    <w:rPr>
                      <w:i/>
                      <w:lang w:val="fr-FR"/>
                    </w:rPr>
                    <w:t>et al.</w:t>
                  </w:r>
                  <w:r w:rsidRPr="00493351">
                    <w:rPr>
                      <w:lang w:val="fr-FR"/>
                    </w:rPr>
                    <w:t xml:space="preserve"> </w:t>
                  </w:r>
                  <w:r>
                    <w:t>D</w:t>
                  </w:r>
                  <w:r w:rsidRPr="00493351">
                    <w:t xml:space="preserve">esigning tailored messages about smoking and breast cancer: </w:t>
                  </w:r>
                  <w:r>
                    <w:t>A</w:t>
                  </w:r>
                  <w:r w:rsidRPr="00493351">
                    <w:t xml:space="preserve"> focus group study with youth</w:t>
                  </w:r>
                  <w:r>
                    <w:t xml:space="preserve">. </w:t>
                  </w:r>
                  <w:r w:rsidRPr="00493351">
                    <w:rPr>
                      <w:i/>
                    </w:rPr>
                    <w:t>Canadian Journal of Nursing Research 46(1)</w:t>
                  </w:r>
                  <w:r>
                    <w:t>:66-86. (2014)</w:t>
                  </w:r>
                </w:p>
              </w:tc>
            </w:tr>
            <w:tr w:rsidR="005321FD" w:rsidTr="00B24378">
              <w:tc>
                <w:tcPr>
                  <w:tcW w:w="2830" w:type="dxa"/>
                </w:tcPr>
                <w:p w:rsidR="005321FD" w:rsidRDefault="005321FD" w:rsidP="005321FD">
                  <w:r>
                    <w:t>Interviews</w:t>
                  </w:r>
                </w:p>
                <w:p w:rsidR="005321FD" w:rsidRDefault="005321FD" w:rsidP="005321FD">
                  <w:r>
                    <w:t>Open-ended questionnaires</w:t>
                  </w:r>
                </w:p>
              </w:tc>
              <w:tc>
                <w:tcPr>
                  <w:tcW w:w="2977" w:type="dxa"/>
                </w:tcPr>
                <w:p w:rsidR="005321FD" w:rsidRDefault="005321FD" w:rsidP="005321FD">
                  <w:r>
                    <w:t>5 academics</w:t>
                  </w:r>
                </w:p>
                <w:p w:rsidR="005321FD" w:rsidRDefault="005321FD" w:rsidP="005321FD">
                  <w:r>
                    <w:t>2 members of the public</w:t>
                  </w:r>
                </w:p>
              </w:tc>
              <w:tc>
                <w:tcPr>
                  <w:tcW w:w="2693" w:type="dxa"/>
                </w:tcPr>
                <w:p w:rsidR="005321FD" w:rsidRDefault="005321FD" w:rsidP="005321FD">
                  <w:r>
                    <w:t>Discussion</w:t>
                  </w:r>
                </w:p>
                <w:p w:rsidR="005321FD" w:rsidRDefault="005321FD" w:rsidP="005321FD">
                  <w:r>
                    <w:t>Iterative team feedback</w:t>
                  </w:r>
                </w:p>
              </w:tc>
              <w:tc>
                <w:tcPr>
                  <w:tcW w:w="5448" w:type="dxa"/>
                </w:tcPr>
                <w:p w:rsidR="005321FD" w:rsidRDefault="005321FD" w:rsidP="005321FD">
                  <w:r w:rsidRPr="00FE1568">
                    <w:rPr>
                      <w:lang w:val="fr-FR"/>
                    </w:rPr>
                    <w:t xml:space="preserve">Brown, L.J. </w:t>
                  </w:r>
                  <w:r w:rsidRPr="00676094">
                    <w:rPr>
                      <w:i/>
                      <w:lang w:val="fr-FR"/>
                    </w:rPr>
                    <w:t>et al.</w:t>
                  </w:r>
                  <w:r w:rsidRPr="00FE1568">
                    <w:rPr>
                      <w:lang w:val="fr-FR"/>
                    </w:rPr>
                    <w:t xml:space="preserve"> </w:t>
                  </w:r>
                  <w:r>
                    <w:t xml:space="preserve">Openness, inclusion and transparency in the practice of public involvement in research: A reflective exercise to develop best practice recommendations. </w:t>
                  </w:r>
                  <w:r w:rsidRPr="00FE1568">
                    <w:rPr>
                      <w:i/>
                    </w:rPr>
                    <w:t>Health Expectations 21(2</w:t>
                  </w:r>
                  <w:r>
                    <w:t>):441-447. (2018)</w:t>
                  </w:r>
                </w:p>
              </w:tc>
            </w:tr>
            <w:tr w:rsidR="005321FD" w:rsidTr="00B24378">
              <w:tc>
                <w:tcPr>
                  <w:tcW w:w="2830" w:type="dxa"/>
                </w:tcPr>
                <w:p w:rsidR="005321FD" w:rsidRDefault="005321FD" w:rsidP="005321FD">
                  <w:r>
                    <w:t xml:space="preserve">3 independent focus groups </w:t>
                  </w:r>
                </w:p>
              </w:tc>
              <w:tc>
                <w:tcPr>
                  <w:tcW w:w="2977" w:type="dxa"/>
                </w:tcPr>
                <w:p w:rsidR="005321FD" w:rsidRDefault="005321FD" w:rsidP="005321FD">
                  <w:r>
                    <w:t>Group 1: 6 females over 40 years old.</w:t>
                  </w:r>
                </w:p>
                <w:p w:rsidR="005321FD" w:rsidRPr="00FE1568" w:rsidRDefault="005321FD" w:rsidP="005321FD">
                  <w:r>
                    <w:t>Groups 2 and 3: mix of males and females between 20 and 30 years old.</w:t>
                  </w:r>
                </w:p>
              </w:tc>
              <w:tc>
                <w:tcPr>
                  <w:tcW w:w="2693" w:type="dxa"/>
                </w:tcPr>
                <w:p w:rsidR="005321FD" w:rsidRPr="00FE1568" w:rsidRDefault="005321FD" w:rsidP="005321FD">
                  <w:r w:rsidRPr="00FE1568">
                    <w:t>Thematic analysis</w:t>
                  </w:r>
                </w:p>
              </w:tc>
              <w:tc>
                <w:tcPr>
                  <w:tcW w:w="5448" w:type="dxa"/>
                </w:tcPr>
                <w:p w:rsidR="005321FD" w:rsidRDefault="005321FD" w:rsidP="005321FD">
                  <w:proofErr w:type="spellStart"/>
                  <w:r>
                    <w:t>Fernqvist</w:t>
                  </w:r>
                  <w:proofErr w:type="spellEnd"/>
                  <w:r>
                    <w:t xml:space="preserve"> F. </w:t>
                  </w:r>
                  <w:r w:rsidRPr="00676094">
                    <w:rPr>
                      <w:i/>
                    </w:rPr>
                    <w:t>et al.</w:t>
                  </w:r>
                  <w:r>
                    <w:t xml:space="preserve"> </w:t>
                  </w:r>
                  <w:r w:rsidRPr="0052448E">
                    <w:t>What’s in it for me? Food packaging and consumer responses, a focus group study</w:t>
                  </w:r>
                  <w:r>
                    <w:t xml:space="preserve">. </w:t>
                  </w:r>
                  <w:r w:rsidRPr="0052448E">
                    <w:rPr>
                      <w:i/>
                    </w:rPr>
                    <w:t>British Food Journal 117(3)</w:t>
                  </w:r>
                  <w:r>
                    <w:t>:1122-1135. (2015)</w:t>
                  </w:r>
                </w:p>
              </w:tc>
            </w:tr>
            <w:tr w:rsidR="005321FD" w:rsidTr="00B24378">
              <w:tc>
                <w:tcPr>
                  <w:tcW w:w="2830" w:type="dxa"/>
                </w:tcPr>
                <w:p w:rsidR="005321FD" w:rsidRDefault="005321FD" w:rsidP="005321FD">
                  <w:r>
                    <w:t>Interviews</w:t>
                  </w:r>
                </w:p>
              </w:tc>
              <w:tc>
                <w:tcPr>
                  <w:tcW w:w="2977" w:type="dxa"/>
                </w:tcPr>
                <w:p w:rsidR="005321FD" w:rsidRDefault="005321FD" w:rsidP="005321FD">
                  <w:r>
                    <w:t>312 consumers in Norway, males and females 18 to 64 years old.</w:t>
                  </w:r>
                </w:p>
              </w:tc>
              <w:tc>
                <w:tcPr>
                  <w:tcW w:w="2693" w:type="dxa"/>
                </w:tcPr>
                <w:p w:rsidR="005321FD" w:rsidRDefault="005321FD" w:rsidP="005321FD">
                  <w:r>
                    <w:t>Differential emotions scale</w:t>
                  </w:r>
                </w:p>
                <w:p w:rsidR="005321FD" w:rsidRDefault="005321FD" w:rsidP="005321FD">
                  <w:r>
                    <w:t>Cognitive benefits scale</w:t>
                  </w:r>
                  <w:r w:rsidRPr="00576BC2">
                    <w:t xml:space="preserve"> </w:t>
                  </w:r>
                </w:p>
              </w:tc>
              <w:tc>
                <w:tcPr>
                  <w:tcW w:w="5448" w:type="dxa"/>
                </w:tcPr>
                <w:p w:rsidR="005321FD" w:rsidRDefault="005321FD" w:rsidP="005321FD">
                  <w:r w:rsidRPr="002A6783">
                    <w:rPr>
                      <w:lang w:val="fr-FR"/>
                    </w:rPr>
                    <w:t xml:space="preserve">Koenig-Lewis, N. </w:t>
                  </w:r>
                  <w:r w:rsidRPr="00676094">
                    <w:rPr>
                      <w:i/>
                      <w:lang w:val="fr-FR"/>
                    </w:rPr>
                    <w:t>et al.</w:t>
                  </w:r>
                  <w:r w:rsidRPr="002A6783">
                    <w:rPr>
                      <w:lang w:val="fr-FR"/>
                    </w:rPr>
                    <w:t xml:space="preserve"> </w:t>
                  </w:r>
                  <w:r>
                    <w:t xml:space="preserve">Consumers' evaluations of ecological packaging—rational and emotional approaches. </w:t>
                  </w:r>
                  <w:r w:rsidRPr="002A6783">
                    <w:rPr>
                      <w:i/>
                    </w:rPr>
                    <w:t>Journal of Environmental Psychology 37:</w:t>
                  </w:r>
                  <w:r>
                    <w:t>94-105. (2014)</w:t>
                  </w:r>
                </w:p>
              </w:tc>
            </w:tr>
          </w:tbl>
          <w:p w:rsidR="005321FD" w:rsidRDefault="005321FD" w:rsidP="005321FD"/>
          <w:p w:rsidR="005321FD" w:rsidRDefault="005321FD" w:rsidP="005321FD"/>
          <w:p w:rsidR="00AE6DD9" w:rsidRDefault="00A73F3B" w:rsidP="00A73F3B">
            <w:r>
              <w:t>The second week</w:t>
            </w:r>
            <w:r w:rsidR="00496AF2">
              <w:t xml:space="preserve"> of the STSM</w:t>
            </w:r>
            <w:r>
              <w:t xml:space="preserve"> </w:t>
            </w:r>
            <w:r w:rsidR="00AE6DD9">
              <w:t xml:space="preserve">began with a brainstorming </w:t>
            </w:r>
            <w:r w:rsidR="00496AF2">
              <w:t xml:space="preserve">meeting </w:t>
            </w:r>
            <w:r>
              <w:t xml:space="preserve">on how best to </w:t>
            </w:r>
            <w:r w:rsidR="00AE6DD9">
              <w:t xml:space="preserve">interact with a target group in order to gather their input on </w:t>
            </w:r>
            <w:r w:rsidR="00453551">
              <w:t xml:space="preserve">best </w:t>
            </w:r>
            <w:r w:rsidR="00AE6DD9">
              <w:t xml:space="preserve">methods for </w:t>
            </w:r>
            <w:r>
              <w:t>communicat</w:t>
            </w:r>
            <w:r w:rsidR="00AE6DD9">
              <w:t xml:space="preserve">ing about food </w:t>
            </w:r>
            <w:r>
              <w:t xml:space="preserve">packaging. </w:t>
            </w:r>
            <w:r w:rsidR="004F7609">
              <w:t xml:space="preserve">A review of the brainstorming, the </w:t>
            </w:r>
            <w:r w:rsidR="00801FBE">
              <w:t xml:space="preserve">previous week’s </w:t>
            </w:r>
            <w:r w:rsidR="004F7609">
              <w:t xml:space="preserve">literature review and materials from the Master’s in Science Communication programme led to the decision to organise a Focus Group on the Dublin City University campus with a defined group of the food-buying public with the aim of finding out their ideas </w:t>
            </w:r>
            <w:r w:rsidR="00453551">
              <w:t>about</w:t>
            </w:r>
            <w:r w:rsidR="004F7609">
              <w:t xml:space="preserve"> food packaging. We identified an accessible group: English language students at DCU and began organization with the DCU Language School including meeting the administrators and language teachers. A </w:t>
            </w:r>
            <w:r w:rsidR="00DD1003">
              <w:t>“</w:t>
            </w:r>
            <w:r w:rsidR="004F7609">
              <w:t>Focus Group Question Outline</w:t>
            </w:r>
            <w:r w:rsidR="00DD1003">
              <w:t>”</w:t>
            </w:r>
            <w:r w:rsidR="004F7609">
              <w:t xml:space="preserve"> was prepared containing, as suggested in the literature, Opening Questions, Introduction Questions, Transition Questions, Key Questions and Concluding Questions</w:t>
            </w:r>
            <w:r w:rsidR="00CE71CE">
              <w:t>, designed to get the group talking about food, food packaging and food information</w:t>
            </w:r>
            <w:r w:rsidR="004F7609">
              <w:t>.</w:t>
            </w:r>
            <w:r w:rsidR="00CE71CE">
              <w:t xml:space="preserve"> Finally, the DCU Ethics Committee was </w:t>
            </w:r>
            <w:r w:rsidR="00CE71CE">
              <w:lastRenderedPageBreak/>
              <w:t xml:space="preserve">contacted such that all </w:t>
            </w:r>
            <w:r w:rsidR="00AE35C8">
              <w:t>F</w:t>
            </w:r>
            <w:r w:rsidR="00CE71CE">
              <w:t xml:space="preserve">ocus </w:t>
            </w:r>
            <w:r w:rsidR="00AE35C8">
              <w:t>G</w:t>
            </w:r>
            <w:r w:rsidR="00CE71CE">
              <w:t>roup activities conformed to university ethical standards.</w:t>
            </w:r>
          </w:p>
          <w:p w:rsidR="005321FD" w:rsidRDefault="004F7609" w:rsidP="008510AA">
            <w:r>
              <w:t xml:space="preserve">The </w:t>
            </w:r>
            <w:r w:rsidR="00801FBE">
              <w:t>third</w:t>
            </w:r>
            <w:r>
              <w:t xml:space="preserve"> week </w:t>
            </w:r>
            <w:r w:rsidR="00453551">
              <w:t xml:space="preserve">of the </w:t>
            </w:r>
            <w:r w:rsidR="00AE35C8">
              <w:t>STSM</w:t>
            </w:r>
            <w:r w:rsidR="00453551">
              <w:t xml:space="preserve"> </w:t>
            </w:r>
            <w:r w:rsidR="00DD1003">
              <w:t>involved finalisation of all Focus Group materials, including</w:t>
            </w:r>
            <w:r w:rsidR="00453551">
              <w:t>, for the Focus Grou</w:t>
            </w:r>
            <w:r w:rsidR="00496AF2">
              <w:t>p</w:t>
            </w:r>
            <w:r w:rsidR="00453551">
              <w:t xml:space="preserve"> participants,</w:t>
            </w:r>
            <w:r w:rsidR="00DD1003">
              <w:t xml:space="preserve"> a Plain Language Statement about the research project and an Informed Consent</w:t>
            </w:r>
            <w:r w:rsidR="008510AA">
              <w:t xml:space="preserve"> specifying that the Focus Group would be audio recorded.</w:t>
            </w:r>
            <w:r w:rsidR="00DD1003">
              <w:t xml:space="preserve"> The </w:t>
            </w:r>
            <w:r w:rsidR="008510AA">
              <w:t xml:space="preserve">consent forms </w:t>
            </w:r>
            <w:r w:rsidR="00DD1003">
              <w:t xml:space="preserve">were distributed and signed </w:t>
            </w:r>
            <w:r w:rsidR="008510AA">
              <w:t xml:space="preserve">by participants </w:t>
            </w:r>
            <w:r w:rsidR="00DD1003">
              <w:t>at the Focus Group</w:t>
            </w:r>
            <w:r w:rsidR="008510AA">
              <w:t xml:space="preserve"> and </w:t>
            </w:r>
            <w:r w:rsidR="00E434F7">
              <w:t>ar</w:t>
            </w:r>
            <w:r w:rsidR="008510AA">
              <w:t xml:space="preserve">e part of the Ethics Committee package. Several books and articles provided background information on moderating a focus group and Dr Murphy and I had </w:t>
            </w:r>
            <w:r w:rsidR="00453551">
              <w:t>several</w:t>
            </w:r>
            <w:r w:rsidR="008510AA">
              <w:t xml:space="preserve"> review session</w:t>
            </w:r>
            <w:r w:rsidR="00453551">
              <w:t>s</w:t>
            </w:r>
            <w:r w:rsidR="008510AA">
              <w:t xml:space="preserve"> before </w:t>
            </w:r>
            <w:r w:rsidR="00E434F7">
              <w:t xml:space="preserve">I moderated </w:t>
            </w:r>
            <w:r w:rsidR="008510AA">
              <w:t>the actual event. The 1-hour focus group took place on Wednesday afternoon</w:t>
            </w:r>
            <w:r w:rsidR="0017498A">
              <w:t xml:space="preserve"> 5 September</w:t>
            </w:r>
            <w:r w:rsidR="008510AA">
              <w:t xml:space="preserve">. </w:t>
            </w:r>
          </w:p>
          <w:p w:rsidR="005321FD" w:rsidRPr="008A6656" w:rsidRDefault="005321FD" w:rsidP="005321FD">
            <w:pPr>
              <w:spacing w:after="0"/>
              <w:rPr>
                <w:b/>
              </w:rPr>
            </w:pPr>
            <w:r w:rsidRPr="008A6656">
              <w:rPr>
                <w:b/>
              </w:rPr>
              <w:t>Characteristics of Focus Group Discussion on Food</w:t>
            </w:r>
          </w:p>
          <w:p w:rsidR="005321FD" w:rsidRPr="008A6656" w:rsidRDefault="005321FD" w:rsidP="005321FD">
            <w:pPr>
              <w:spacing w:after="0"/>
              <w:rPr>
                <w:b/>
              </w:rPr>
            </w:pPr>
            <w:r w:rsidRPr="008A6656">
              <w:rPr>
                <w:b/>
              </w:rPr>
              <w:t>5 September 2018</w:t>
            </w:r>
          </w:p>
          <w:p w:rsidR="005321FD" w:rsidRDefault="005321FD" w:rsidP="005321FD"/>
          <w:tbl>
            <w:tblPr>
              <w:tblStyle w:val="Tabela-mrea"/>
              <w:tblW w:w="0" w:type="auto"/>
              <w:tblLook w:val="04A0"/>
            </w:tblPr>
            <w:tblGrid>
              <w:gridCol w:w="1696"/>
              <w:gridCol w:w="2934"/>
              <w:gridCol w:w="1319"/>
            </w:tblGrid>
            <w:tr w:rsidR="005321FD" w:rsidTr="00B24378">
              <w:tc>
                <w:tcPr>
                  <w:tcW w:w="1696" w:type="dxa"/>
                </w:tcPr>
                <w:p w:rsidR="005321FD" w:rsidRPr="007F7A72" w:rsidRDefault="005321FD" w:rsidP="005321FD">
                  <w:pPr>
                    <w:rPr>
                      <w:b/>
                    </w:rPr>
                  </w:pPr>
                  <w:r w:rsidRPr="007F7A72">
                    <w:rPr>
                      <w:b/>
                    </w:rPr>
                    <w:t>FOCUS GROUP</w:t>
                  </w:r>
                </w:p>
              </w:tc>
              <w:tc>
                <w:tcPr>
                  <w:tcW w:w="2934" w:type="dxa"/>
                </w:tcPr>
                <w:p w:rsidR="005321FD" w:rsidRPr="007F7A72" w:rsidRDefault="005321FD" w:rsidP="005321FD">
                  <w:pPr>
                    <w:rPr>
                      <w:b/>
                    </w:rPr>
                  </w:pPr>
                  <w:r w:rsidRPr="007F7A72">
                    <w:rPr>
                      <w:b/>
                    </w:rPr>
                    <w:t>PARTICIPANTS</w:t>
                  </w:r>
                </w:p>
              </w:tc>
              <w:tc>
                <w:tcPr>
                  <w:tcW w:w="1319" w:type="dxa"/>
                </w:tcPr>
                <w:p w:rsidR="005321FD" w:rsidRPr="007F7A72" w:rsidRDefault="005321FD" w:rsidP="005321FD">
                  <w:pPr>
                    <w:rPr>
                      <w:b/>
                    </w:rPr>
                  </w:pPr>
                  <w:r w:rsidRPr="007F7A72">
                    <w:rPr>
                      <w:b/>
                    </w:rPr>
                    <w:t>ANALYSIS</w:t>
                  </w:r>
                </w:p>
              </w:tc>
            </w:tr>
            <w:tr w:rsidR="005321FD" w:rsidTr="00B24378">
              <w:trPr>
                <w:trHeight w:val="680"/>
              </w:trPr>
              <w:tc>
                <w:tcPr>
                  <w:tcW w:w="1696" w:type="dxa"/>
                </w:tcPr>
                <w:p w:rsidR="005321FD" w:rsidRDefault="005321FD" w:rsidP="005321FD">
                  <w:r>
                    <w:t>1 hour long with 1 moderator</w:t>
                  </w:r>
                </w:p>
              </w:tc>
              <w:tc>
                <w:tcPr>
                  <w:tcW w:w="2934" w:type="dxa"/>
                </w:tcPr>
                <w:p w:rsidR="005321FD" w:rsidRDefault="005321FD" w:rsidP="005321FD">
                  <w:r>
                    <w:t xml:space="preserve">10 men and 6 women </w:t>
                  </w:r>
                </w:p>
              </w:tc>
              <w:tc>
                <w:tcPr>
                  <w:tcW w:w="1319" w:type="dxa"/>
                </w:tcPr>
                <w:p w:rsidR="005321FD" w:rsidRDefault="005321FD" w:rsidP="005321FD">
                  <w:r>
                    <w:t>Data-driven</w:t>
                  </w:r>
                </w:p>
              </w:tc>
            </w:tr>
            <w:tr w:rsidR="005321FD" w:rsidTr="00B24378">
              <w:trPr>
                <w:trHeight w:val="680"/>
              </w:trPr>
              <w:tc>
                <w:tcPr>
                  <w:tcW w:w="1696" w:type="dxa"/>
                </w:tcPr>
                <w:p w:rsidR="005321FD" w:rsidRDefault="005321FD" w:rsidP="005321FD">
                  <w:r>
                    <w:t>Audio recorded</w:t>
                  </w:r>
                </w:p>
              </w:tc>
              <w:tc>
                <w:tcPr>
                  <w:tcW w:w="2934" w:type="dxa"/>
                </w:tcPr>
                <w:p w:rsidR="005321FD" w:rsidRDefault="005321FD" w:rsidP="005321FD">
                  <w:r>
                    <w:t>between 19 and 25 years old</w:t>
                  </w:r>
                </w:p>
              </w:tc>
              <w:tc>
                <w:tcPr>
                  <w:tcW w:w="1319" w:type="dxa"/>
                </w:tcPr>
                <w:p w:rsidR="005321FD" w:rsidRDefault="005321FD" w:rsidP="005321FD">
                  <w:r>
                    <w:t>Thematic</w:t>
                  </w:r>
                </w:p>
              </w:tc>
            </w:tr>
            <w:tr w:rsidR="005321FD" w:rsidTr="00B24378">
              <w:trPr>
                <w:trHeight w:val="680"/>
              </w:trPr>
              <w:tc>
                <w:tcPr>
                  <w:tcW w:w="1696" w:type="dxa"/>
                </w:tcPr>
                <w:p w:rsidR="005321FD" w:rsidRDefault="005321FD" w:rsidP="005321FD">
                  <w:r>
                    <w:t>10 questions in 5 categories</w:t>
                  </w:r>
                </w:p>
                <w:p w:rsidR="005321FD" w:rsidRDefault="005321FD" w:rsidP="005321FD">
                  <w:r>
                    <w:t>3 slides shown</w:t>
                  </w:r>
                </w:p>
              </w:tc>
              <w:tc>
                <w:tcPr>
                  <w:tcW w:w="2934" w:type="dxa"/>
                </w:tcPr>
                <w:p w:rsidR="005321FD" w:rsidRDefault="005321FD" w:rsidP="005321FD">
                  <w:r>
                    <w:t>from Asia, Europe and South America</w:t>
                  </w:r>
                </w:p>
              </w:tc>
              <w:tc>
                <w:tcPr>
                  <w:tcW w:w="1319" w:type="dxa"/>
                </w:tcPr>
                <w:p w:rsidR="005321FD" w:rsidRDefault="005321FD" w:rsidP="005321FD">
                  <w:r>
                    <w:t>Key words</w:t>
                  </w:r>
                </w:p>
              </w:tc>
            </w:tr>
          </w:tbl>
          <w:p w:rsidR="005321FD" w:rsidRDefault="005321FD" w:rsidP="008510AA"/>
          <w:p w:rsidR="00E26946" w:rsidRPr="008510AA" w:rsidRDefault="008510AA" w:rsidP="008510AA">
            <w:r>
              <w:t xml:space="preserve">After, the </w:t>
            </w:r>
            <w:r w:rsidR="0017498A">
              <w:t xml:space="preserve">audio </w:t>
            </w:r>
            <w:r>
              <w:t>recordings were verified and saved in duplicate followed by a session on transcription methods and</w:t>
            </w:r>
            <w:r w:rsidR="0017498A">
              <w:t xml:space="preserve"> available</w:t>
            </w:r>
            <w:r>
              <w:t xml:space="preserve"> software. Finally, all relevant material regarding the STSM was copied between the host and the grantee </w:t>
            </w:r>
            <w:r w:rsidR="0036232D">
              <w:t>and all other copies destroyed. The STSM ended with a short session on possible future collaborations to advance this pilot study on targeted communication about food and food packaging.</w:t>
            </w:r>
          </w:p>
        </w:tc>
      </w:tr>
    </w:tbl>
    <w:p w:rsidR="00E26946" w:rsidRDefault="00E26946" w:rsidP="00E26946"/>
    <w:p w:rsidR="00E26946" w:rsidRDefault="00E26946" w:rsidP="00E26946"/>
    <w:tbl>
      <w:tblPr>
        <w:tblStyle w:val="Tabela-mrea"/>
        <w:tblW w:w="9672" w:type="dxa"/>
        <w:tblInd w:w="-5" w:type="dxa"/>
        <w:tblLook w:val="04A0"/>
      </w:tblPr>
      <w:tblGrid>
        <w:gridCol w:w="9672"/>
      </w:tblGrid>
      <w:tr w:rsidR="00E26946" w:rsidRPr="00681CA3" w:rsidTr="001F7EB0">
        <w:tc>
          <w:tcPr>
            <w:tcW w:w="9672" w:type="dxa"/>
            <w:tcBorders>
              <w:bottom w:val="nil"/>
            </w:tcBorders>
          </w:tcPr>
          <w:p w:rsidR="00E26946" w:rsidRPr="00AE35C8" w:rsidRDefault="00E26946" w:rsidP="001F7EB0">
            <w:pPr>
              <w:rPr>
                <w:b/>
                <w:u w:val="single"/>
              </w:rPr>
            </w:pPr>
            <w:r>
              <w:rPr>
                <w:b/>
                <w:u w:val="single"/>
              </w:rPr>
              <w:t>DESCRIPTION OF THE MAIN RESULTS OBTAINED</w:t>
            </w:r>
          </w:p>
        </w:tc>
      </w:tr>
      <w:tr w:rsidR="00E26946" w:rsidRPr="00681CA3" w:rsidTr="001F7EB0">
        <w:tc>
          <w:tcPr>
            <w:tcW w:w="9672" w:type="dxa"/>
            <w:tcBorders>
              <w:top w:val="nil"/>
              <w:bottom w:val="single" w:sz="4" w:space="0" w:color="auto"/>
            </w:tcBorders>
          </w:tcPr>
          <w:p w:rsidR="00353E0B" w:rsidRDefault="00353E0B" w:rsidP="00353E0B">
            <w:r>
              <w:t xml:space="preserve">The anticipated result of preparing an effective communication package for disseminating complex scientific ideas to the non-expert was </w:t>
            </w:r>
            <w:r w:rsidR="00F55A31">
              <w:t>started</w:t>
            </w:r>
            <w:r w:rsidR="00E434F7">
              <w:t>,</w:t>
            </w:r>
            <w:r>
              <w:t xml:space="preserve"> although, and perhaps this is the most valuable part of the STSM, not as the grantee envisioned beforehand. In a completely novel approach to science communication</w:t>
            </w:r>
            <w:r w:rsidR="00F55A31">
              <w:t xml:space="preserve"> (for me)</w:t>
            </w:r>
            <w:r>
              <w:t xml:space="preserve">, the target audience was </w:t>
            </w:r>
            <w:r w:rsidR="00AE35C8">
              <w:t xml:space="preserve">intimately </w:t>
            </w:r>
            <w:r>
              <w:t>involved before any communication was even envisioned. In fact, the STSM was devoted to learning the state-of-the-art in gathering target audience ideas</w:t>
            </w:r>
            <w:r w:rsidR="00AE35C8">
              <w:t>,</w:t>
            </w:r>
            <w:r>
              <w:t xml:space="preserve"> </w:t>
            </w:r>
            <w:r w:rsidR="00F55A31">
              <w:t xml:space="preserve">to </w:t>
            </w:r>
            <w:r w:rsidR="00AE35C8">
              <w:t>choosing one of these based on the topic of communication and practical considerations, and then to using that method – a</w:t>
            </w:r>
            <w:r w:rsidR="00F55A31">
              <w:t xml:space="preserve"> Focus Group</w:t>
            </w:r>
            <w:r w:rsidR="00AE35C8">
              <w:t xml:space="preserve"> – to collect information</w:t>
            </w:r>
            <w:r w:rsidR="00F55A31">
              <w:t xml:space="preserve"> on </w:t>
            </w:r>
            <w:r w:rsidR="00AE35C8">
              <w:t xml:space="preserve">how to </w:t>
            </w:r>
            <w:r w:rsidR="00F55A31">
              <w:t>communicat</w:t>
            </w:r>
            <w:r w:rsidR="00AE35C8">
              <w:t>e</w:t>
            </w:r>
            <w:r w:rsidR="00F55A31">
              <w:t xml:space="preserve"> about food pack</w:t>
            </w:r>
            <w:bookmarkStart w:id="0" w:name="_GoBack"/>
            <w:bookmarkEnd w:id="0"/>
            <w:r w:rsidR="00F55A31">
              <w:t xml:space="preserve">aging. </w:t>
            </w:r>
          </w:p>
          <w:p w:rsidR="00353E0B" w:rsidRDefault="00353E0B" w:rsidP="00353E0B">
            <w:r>
              <w:t xml:space="preserve">A </w:t>
            </w:r>
            <w:r w:rsidR="00F55A31">
              <w:t>concrete</w:t>
            </w:r>
            <w:r>
              <w:t xml:space="preserve"> result of this collaboration is the </w:t>
            </w:r>
            <w:r w:rsidR="00F55A31">
              <w:t xml:space="preserve">audio recording of the </w:t>
            </w:r>
            <w:r>
              <w:t xml:space="preserve">completed Focus Group on food packaging. The Focus Group was held with a discrete subset of the food-buying public, that is young people who have recently arrived in Europe, and as such may be a pilot for further Focus Groups on communication about food packaging. Transcription and analysis of the Focus Group discussion </w:t>
            </w:r>
            <w:r w:rsidR="00F55A31">
              <w:t>will be</w:t>
            </w:r>
            <w:r w:rsidR="00E434F7">
              <w:t xml:space="preserve"> completed</w:t>
            </w:r>
            <w:r>
              <w:t xml:space="preserve"> in the week</w:t>
            </w:r>
            <w:r w:rsidR="00E434F7">
              <w:t>s</w:t>
            </w:r>
            <w:r>
              <w:t xml:space="preserve"> following completion of the STSM</w:t>
            </w:r>
            <w:r w:rsidR="00E434F7">
              <w:t>,</w:t>
            </w:r>
            <w:r>
              <w:t xml:space="preserve"> and an abstract</w:t>
            </w:r>
            <w:r w:rsidR="00F55A31">
              <w:t xml:space="preserve"> and then a presentation will be</w:t>
            </w:r>
            <w:r>
              <w:t xml:space="preserve"> prepared for the </w:t>
            </w:r>
            <w:proofErr w:type="spellStart"/>
            <w:r>
              <w:t>ActInPak</w:t>
            </w:r>
            <w:proofErr w:type="spellEnd"/>
            <w:r>
              <w:t xml:space="preserve"> final conference in November 2018.  </w:t>
            </w:r>
          </w:p>
          <w:p w:rsidR="00E26946" w:rsidRPr="00F55A31" w:rsidRDefault="00F55A31" w:rsidP="00353E0B">
            <w:r>
              <w:lastRenderedPageBreak/>
              <w:t>Finally, a</w:t>
            </w:r>
            <w:r w:rsidR="00EE4264">
              <w:t xml:space="preserve">n effective and perhaps ongoing collaboration was initiated between the grantee, and thus the </w:t>
            </w:r>
            <w:proofErr w:type="spellStart"/>
            <w:r w:rsidR="00EE4264">
              <w:t>ActInPak</w:t>
            </w:r>
            <w:proofErr w:type="spellEnd"/>
            <w:r w:rsidR="00EE4264">
              <w:t xml:space="preserve"> project, and Dr Murphy’s Science Communication research team at Dublin City University. </w:t>
            </w:r>
            <w:r w:rsidR="00056F42">
              <w:t xml:space="preserve">Dr Murphy will be invited to attend the </w:t>
            </w:r>
            <w:proofErr w:type="spellStart"/>
            <w:r w:rsidR="00056F42">
              <w:t>ActInPak</w:t>
            </w:r>
            <w:proofErr w:type="spellEnd"/>
            <w:r w:rsidR="00056F42">
              <w:t xml:space="preserve"> final conference and meeting on potential future projects to be held in November 2018.</w:t>
            </w:r>
          </w:p>
        </w:tc>
      </w:tr>
    </w:tbl>
    <w:p w:rsidR="00E26946" w:rsidRDefault="00E26946" w:rsidP="00E26946"/>
    <w:tbl>
      <w:tblPr>
        <w:tblStyle w:val="Tabela-mrea"/>
        <w:tblW w:w="9672" w:type="dxa"/>
        <w:tblInd w:w="-5" w:type="dxa"/>
        <w:tblLook w:val="04A0"/>
      </w:tblPr>
      <w:tblGrid>
        <w:gridCol w:w="9672"/>
      </w:tblGrid>
      <w:tr w:rsidR="00E26946" w:rsidRPr="00681CA3" w:rsidTr="001F7EB0">
        <w:tc>
          <w:tcPr>
            <w:tcW w:w="9672" w:type="dxa"/>
            <w:tcBorders>
              <w:bottom w:val="nil"/>
            </w:tcBorders>
          </w:tcPr>
          <w:p w:rsidR="00E26946" w:rsidRPr="00E434F7" w:rsidRDefault="00E26946" w:rsidP="001F7EB0">
            <w:pPr>
              <w:rPr>
                <w:b/>
                <w:u w:val="single"/>
              </w:rPr>
            </w:pPr>
            <w:r>
              <w:rPr>
                <w:b/>
                <w:u w:val="single"/>
              </w:rPr>
              <w:t>FUTURE COLLABORATIONS (if applicable)</w:t>
            </w:r>
          </w:p>
        </w:tc>
      </w:tr>
      <w:tr w:rsidR="00E26946" w:rsidRPr="00681CA3" w:rsidTr="001F7EB0">
        <w:tc>
          <w:tcPr>
            <w:tcW w:w="9672" w:type="dxa"/>
            <w:tcBorders>
              <w:top w:val="nil"/>
              <w:bottom w:val="single" w:sz="4" w:space="0" w:color="auto"/>
            </w:tcBorders>
          </w:tcPr>
          <w:p w:rsidR="00496AF2" w:rsidRDefault="0046200D" w:rsidP="0046200D">
            <w:r>
              <w:t xml:space="preserve">The pilot Focus Group study to determine best practices for communication of </w:t>
            </w:r>
            <w:proofErr w:type="spellStart"/>
            <w:r>
              <w:t>ActInPak</w:t>
            </w:r>
            <w:proofErr w:type="spellEnd"/>
            <w:r>
              <w:t xml:space="preserve"> results will be presented at the </w:t>
            </w:r>
            <w:proofErr w:type="spellStart"/>
            <w:r>
              <w:t>ActInPak</w:t>
            </w:r>
            <w:proofErr w:type="spellEnd"/>
            <w:r>
              <w:t xml:space="preserve"> Final conference, 20-22 November 2018 in Vienna AT</w:t>
            </w:r>
            <w:r w:rsidR="00496AF2">
              <w:t xml:space="preserve">. </w:t>
            </w:r>
          </w:p>
          <w:p w:rsidR="0046200D" w:rsidRDefault="00E46A07" w:rsidP="0046200D">
            <w:r>
              <w:t xml:space="preserve">Analysis of the </w:t>
            </w:r>
            <w:r w:rsidR="001E601B">
              <w:t>Focus Group</w:t>
            </w:r>
            <w:r>
              <w:t xml:space="preserve"> transcript</w:t>
            </w:r>
            <w:r w:rsidR="001E601B">
              <w:t xml:space="preserve"> </w:t>
            </w:r>
            <w:r>
              <w:t>will likely</w:t>
            </w:r>
            <w:r w:rsidR="001E601B">
              <w:t xml:space="preserve"> </w:t>
            </w:r>
            <w:r>
              <w:t>result in</w:t>
            </w:r>
            <w:r w:rsidR="001E601B">
              <w:t xml:space="preserve"> a </w:t>
            </w:r>
            <w:r>
              <w:t xml:space="preserve">collaboratively produced </w:t>
            </w:r>
            <w:r w:rsidR="001E601B">
              <w:t xml:space="preserve">print- or web-based communication geared towards young adults who have recently arrived in Europe. </w:t>
            </w:r>
            <w:r w:rsidR="00496AF2">
              <w:t xml:space="preserve">The results of this Focus Group </w:t>
            </w:r>
            <w:r w:rsidR="0046200D">
              <w:t xml:space="preserve">may </w:t>
            </w:r>
            <w:r w:rsidR="00496AF2">
              <w:t xml:space="preserve">also </w:t>
            </w:r>
            <w:r w:rsidR="0008734A">
              <w:t>be a component of a future research project</w:t>
            </w:r>
            <w:r w:rsidR="00496AF2">
              <w:t xml:space="preserve"> in which information is gathered from targeted sections of the food-buying public in order to </w:t>
            </w:r>
            <w:r>
              <w:t xml:space="preserve">more fully </w:t>
            </w:r>
            <w:r w:rsidR="00496AF2">
              <w:t xml:space="preserve">understand the best methods of informing </w:t>
            </w:r>
            <w:r w:rsidR="00E434F7">
              <w:t xml:space="preserve">different groups of </w:t>
            </w:r>
            <w:r w:rsidR="00496AF2">
              <w:t>consumers about active and intelligent packaging</w:t>
            </w:r>
            <w:r w:rsidR="0046200D">
              <w:t>.</w:t>
            </w:r>
            <w:r w:rsidR="00496AF2">
              <w:t xml:space="preserve"> </w:t>
            </w:r>
          </w:p>
          <w:p w:rsidR="00E26946" w:rsidRPr="00681CA3" w:rsidRDefault="00E26946" w:rsidP="001F7EB0">
            <w:pPr>
              <w:rPr>
                <w:i/>
              </w:rPr>
            </w:pPr>
          </w:p>
        </w:tc>
      </w:tr>
    </w:tbl>
    <w:p w:rsidR="00E26946" w:rsidRPr="00EB08C5" w:rsidRDefault="00E26946" w:rsidP="00E26946"/>
    <w:p w:rsidR="00B050AD" w:rsidRPr="00E26946" w:rsidRDefault="00B050AD" w:rsidP="00E26946"/>
    <w:sectPr w:rsidR="00B050AD" w:rsidRPr="00E26946" w:rsidSect="00B64B1E">
      <w:headerReference w:type="even" r:id="rId13"/>
      <w:headerReference w:type="default" r:id="rId14"/>
      <w:footerReference w:type="even" r:id="rId15"/>
      <w:footerReference w:type="default" r:id="rId16"/>
      <w:headerReference w:type="first" r:id="rId17"/>
      <w:footerReference w:type="first" r:id="rId18"/>
      <w:pgSz w:w="11900" w:h="16840"/>
      <w:pgMar w:top="1418" w:right="1418" w:bottom="851" w:left="1418" w:header="1418"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1F0" w:rsidRDefault="009721F0" w:rsidP="00F24F32">
      <w:r>
        <w:separator/>
      </w:r>
    </w:p>
  </w:endnote>
  <w:endnote w:type="continuationSeparator" w:id="0">
    <w:p w:rsidR="009721F0" w:rsidRDefault="009721F0" w:rsidP="00F24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Rockwell">
    <w:panose1 w:val="02060603020205020403"/>
    <w:charset w:val="00"/>
    <w:family w:val="roman"/>
    <w:pitch w:val="variable"/>
    <w:sig w:usb0="00000003" w:usb1="00000000" w:usb2="00000000" w:usb3="00000000" w:csb0="00000001" w:csb1="00000000"/>
  </w:font>
  <w:font w:name="Exo">
    <w:charset w:val="00"/>
    <w:family w:val="auto"/>
    <w:pitch w:val="variable"/>
    <w:sig w:usb0="A00000EF" w:usb1="4000204B" w:usb2="00000000" w:usb3="00000000" w:csb0="00000093" w:csb1="00000000"/>
  </w:font>
  <w:font w:name="MinionPro-Regular">
    <w:altName w:val="Minion Pro"/>
    <w:panose1 w:val="02040503050306020203"/>
    <w:charset w:val="00"/>
    <w:family w:val="auto"/>
    <w:pitch w:val="variable"/>
    <w:sig w:usb0="60000287" w:usb1="00000001" w:usb2="00000000" w:usb3="00000000" w:csb0="0000019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30" w:rsidRDefault="00851130">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30" w:rsidRDefault="00B9104F" w:rsidP="00F24F32">
    <w:pPr>
      <w:pStyle w:val="Noga"/>
    </w:pPr>
    <w:r w:rsidRPr="00B9104F">
      <w:rPr>
        <w:noProof/>
        <w:lang w:eastAsia="en-GB"/>
      </w:rPr>
      <w:pict>
        <v:shapetype id="_x0000_t202" coordsize="21600,21600" o:spt="202" path="m,l,21600r21600,l21600,xe">
          <v:stroke joinstyle="miter"/>
          <v:path gradientshapeok="t" o:connecttype="rect"/>
        </v:shapetype>
        <v:shape id="Zone de texte 5" o:spid="_x0000_s2049" type="#_x0000_t202" style="position:absolute;left:0;text-align:left;margin-left:0;margin-top:0;width:453.55pt;height:42.5pt;z-index:251663360;visibility:visible;mso-position-horizontal-relative:margin;mso-position-vertical:bottom;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" filled="f" stroked="f">
          <v:textbox inset=",,0,8mm">
            <w:txbxContent>
              <w:p w:rsidR="00851130" w:rsidRPr="00181660" w:rsidRDefault="00851130" w:rsidP="00C12AD6">
                <w:pPr>
                  <w:pStyle w:val="Footer1"/>
                  <w:rPr>
                    <w:sz w:val="16"/>
                    <w:szCs w:val="16"/>
                  </w:rPr>
                </w:pPr>
                <w:r>
                  <w:rPr>
                    <w:sz w:val="16"/>
                    <w:szCs w:val="16"/>
                  </w:rPr>
                  <w:t xml:space="preserve">       </w:t>
                </w:r>
                <w:r w:rsidR="00B9104F" w:rsidRPr="00181660">
                  <w:rPr>
                    <w:sz w:val="16"/>
                    <w:szCs w:val="16"/>
                  </w:rPr>
                  <w:fldChar w:fldCharType="begin"/>
                </w:r>
                <w:r w:rsidRPr="00181660">
                  <w:rPr>
                    <w:sz w:val="16"/>
                    <w:szCs w:val="16"/>
                  </w:rPr>
                  <w:instrText xml:space="preserve"> PAGE  \* MERGEFORMAT </w:instrText>
                </w:r>
                <w:r w:rsidR="00B9104F" w:rsidRPr="00181660">
                  <w:rPr>
                    <w:sz w:val="16"/>
                    <w:szCs w:val="16"/>
                  </w:rPr>
                  <w:fldChar w:fldCharType="separate"/>
                </w:r>
                <w:r w:rsidR="005675FC">
                  <w:rPr>
                    <w:noProof/>
                    <w:sz w:val="16"/>
                    <w:szCs w:val="16"/>
                  </w:rPr>
                  <w:t>2</w:t>
                </w:r>
                <w:r w:rsidR="00B9104F" w:rsidRPr="00181660">
                  <w:rPr>
                    <w:sz w:val="16"/>
                    <w:szCs w:val="16"/>
                  </w:rPr>
                  <w:fldChar w:fldCharType="end"/>
                </w:r>
              </w:p>
            </w:txbxContent>
          </v:textbox>
          <w10:wrap anchorx="margin"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30" w:rsidRDefault="00851130" w:rsidP="00F24F32">
    <w:pPr>
      <w:pStyle w:val="Noga"/>
    </w:pPr>
    <w:r>
      <w:rPr>
        <w:noProof/>
        <w:lang w:val="sl-SI" w:eastAsia="sl-SI"/>
      </w:rPr>
      <w:drawing>
        <wp:anchor distT="0" distB="0" distL="114300" distR="114300" simplePos="0" relativeHeight="251661312" behindDoc="1" locked="0" layoutInCell="1" allowOverlap="1">
          <wp:simplePos x="0" y="0"/>
          <wp:positionH relativeFrom="page">
            <wp:posOffset>18288</wp:posOffset>
          </wp:positionH>
          <wp:positionV relativeFrom="page">
            <wp:posOffset>9254200</wp:posOffset>
          </wp:positionV>
          <wp:extent cx="7525385" cy="143225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s/LayoutTemplates_05.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525385" cy="1432250"/>
                  </a:xfrm>
                  <a:prstGeom prst="rect">
                    <a:avLst/>
                  </a:prstGeom>
                  <a:noFill/>
                  <a:ln>
                    <a:noFill/>
                  </a:ln>
                </pic:spPr>
              </pic:pic>
            </a:graphicData>
          </a:graphic>
        </wp:anchor>
      </w:drawing>
    </w:r>
  </w:p>
  <w:p w:rsidR="00851130" w:rsidRDefault="00851130" w:rsidP="00F24F32">
    <w:pPr>
      <w:pStyle w:val="Noga"/>
    </w:pPr>
  </w:p>
  <w:p w:rsidR="00851130" w:rsidRDefault="00851130" w:rsidP="00F24F32">
    <w:pPr>
      <w:pStyle w:val="Noga"/>
    </w:pPr>
  </w:p>
  <w:p w:rsidR="00851130" w:rsidRDefault="00851130" w:rsidP="00F24F32">
    <w:pPr>
      <w:pStyle w:val="Noga"/>
    </w:pPr>
  </w:p>
  <w:p w:rsidR="00851130" w:rsidRDefault="00851130" w:rsidP="00F24F32">
    <w:pPr>
      <w:pStyle w:val="Noga"/>
    </w:pPr>
  </w:p>
  <w:p w:rsidR="00851130" w:rsidRDefault="00851130" w:rsidP="00F24F32">
    <w:pPr>
      <w:pStyle w:val="Noga"/>
    </w:pPr>
  </w:p>
  <w:p w:rsidR="00851130" w:rsidRDefault="00851130" w:rsidP="00F24F32">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1F0" w:rsidRDefault="009721F0" w:rsidP="00F24F32">
      <w:r>
        <w:separator/>
      </w:r>
    </w:p>
  </w:footnote>
  <w:footnote w:type="continuationSeparator" w:id="0">
    <w:p w:rsidR="009721F0" w:rsidRDefault="009721F0" w:rsidP="00F24F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30" w:rsidRDefault="00851130">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30" w:rsidRDefault="00851130" w:rsidP="00F24F32">
    <w:pPr>
      <w:pStyle w:val="Glava"/>
    </w:pPr>
    <w:r w:rsidRPr="002050E6">
      <w:rPr>
        <w:noProof/>
        <w:lang w:val="sl-SI" w:eastAsia="sl-SI"/>
      </w:rPr>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7560000" cy="1090872"/>
          <wp:effectExtent l="0" t="0" r="0" b="190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0000" cy="1090872"/>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30" w:rsidRDefault="00851130" w:rsidP="00F24F32">
    <w:pPr>
      <w:pStyle w:val="Glava"/>
    </w:pPr>
    <w:r w:rsidRPr="0041648F">
      <w:rPr>
        <w:noProof/>
        <w:lang w:val="sl-SI" w:eastAsia="sl-SI"/>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7554929" cy="1800000"/>
          <wp:effectExtent l="0" t="0" r="0" b="381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54929" cy="1800000"/>
                  </a:xfrm>
                  <a:prstGeom prst="rect">
                    <a:avLst/>
                  </a:prstGeom>
                </pic:spPr>
              </pic:pic>
            </a:graphicData>
          </a:graphic>
        </wp:anchor>
      </w:drawing>
    </w:r>
  </w:p>
  <w:p w:rsidR="00851130" w:rsidRDefault="00851130" w:rsidP="00F24F32">
    <w:pPr>
      <w:pStyle w:val="Glava"/>
    </w:pPr>
  </w:p>
  <w:p w:rsidR="00851130" w:rsidRDefault="00851130" w:rsidP="00F24F32">
    <w:pPr>
      <w:pStyle w:val="Glava"/>
    </w:pPr>
  </w:p>
  <w:p w:rsidR="00851130" w:rsidRDefault="00851130" w:rsidP="00F24F32">
    <w:pPr>
      <w:pStyle w:val="Glava"/>
    </w:pPr>
  </w:p>
  <w:p w:rsidR="00851130" w:rsidRDefault="00851130" w:rsidP="00F24F32">
    <w:pPr>
      <w:pStyle w:val="Glava"/>
    </w:pPr>
  </w:p>
  <w:p w:rsidR="00851130" w:rsidRDefault="00851130">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1.1pt;height:101.1pt" o:bullet="t">
        <v:imagedata r:id="rId1" o:title="point"/>
      </v:shape>
    </w:pict>
  </w:numPicBullet>
  <w:abstractNum w:abstractNumId="0">
    <w:nsid w:val="027863BA"/>
    <w:multiLevelType w:val="multilevel"/>
    <w:tmpl w:val="71680A70"/>
    <w:numStyleLink w:val="COSTNUM"/>
  </w:abstractNum>
  <w:abstractNum w:abstractNumId="1">
    <w:nsid w:val="18D43229"/>
    <w:multiLevelType w:val="multilevel"/>
    <w:tmpl w:val="AA30A16C"/>
    <w:lvl w:ilvl="0">
      <w:start w:val="1"/>
      <w:numFmt w:val="decimal"/>
      <w:pStyle w:val="Naslov1"/>
      <w:lvlText w:val="%1)"/>
      <w:lvlJc w:val="left"/>
      <w:pPr>
        <w:ind w:left="360" w:hanging="360"/>
      </w:pPr>
      <w:rPr>
        <w:rFonts w:hint="default"/>
      </w:rPr>
    </w:lvl>
    <w:lvl w:ilvl="1">
      <w:start w:val="1"/>
      <w:numFmt w:val="lowerLetter"/>
      <w:pStyle w:val="Naslov2"/>
      <w:lvlText w:val="%2)"/>
      <w:lvlJc w:val="left"/>
      <w:pPr>
        <w:ind w:left="720" w:hanging="360"/>
      </w:pPr>
      <w:rPr>
        <w:rFonts w:hint="default"/>
      </w:rPr>
    </w:lvl>
    <w:lvl w:ilvl="2">
      <w:start w:val="1"/>
      <w:numFmt w:val="lowerRoman"/>
      <w:pStyle w:val="Naslov3"/>
      <w:lvlText w:val="%3)"/>
      <w:lvlJc w:val="left"/>
      <w:pPr>
        <w:ind w:left="1080" w:hanging="360"/>
      </w:pPr>
      <w:rPr>
        <w:rFonts w:hint="default"/>
      </w:rPr>
    </w:lvl>
    <w:lvl w:ilvl="3">
      <w:start w:val="1"/>
      <w:numFmt w:val="decimal"/>
      <w:pStyle w:val="Naslov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A816097"/>
    <w:multiLevelType w:val="hybridMultilevel"/>
    <w:tmpl w:val="AC1C4A3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2483343"/>
    <w:multiLevelType w:val="hybridMultilevel"/>
    <w:tmpl w:val="ABECE70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5EC3204"/>
    <w:multiLevelType w:val="multilevel"/>
    <w:tmpl w:val="71680A70"/>
    <w:styleLink w:val="COSTNUM"/>
    <w:lvl w:ilvl="0">
      <w:start w:val="1"/>
      <w:numFmt w:val="decimal"/>
      <w:pStyle w:val="Numberedlist"/>
      <w:lvlText w:val="%1."/>
      <w:lvlJc w:val="left"/>
      <w:pPr>
        <w:tabs>
          <w:tab w:val="num" w:pos="1134"/>
        </w:tabs>
        <w:ind w:left="1134" w:hanging="283"/>
      </w:pPr>
      <w:rPr>
        <w:rFonts w:hint="default"/>
        <w:color w:val="5E78AD" w:themeColor="accent2"/>
      </w:rPr>
    </w:lvl>
    <w:lvl w:ilvl="1">
      <w:start w:val="1"/>
      <w:numFmt w:val="decimal"/>
      <w:lvlText w:val="%1.%2."/>
      <w:lvlJc w:val="left"/>
      <w:pPr>
        <w:tabs>
          <w:tab w:val="num" w:pos="1701"/>
        </w:tabs>
        <w:ind w:left="1701" w:hanging="283"/>
      </w:pPr>
      <w:rPr>
        <w:rFonts w:hint="default"/>
        <w:color w:val="5E78AD" w:themeColor="accent2"/>
      </w:rPr>
    </w:lvl>
    <w:lvl w:ilvl="2">
      <w:start w:val="1"/>
      <w:numFmt w:val="decimal"/>
      <w:lvlText w:val="%1.%2.%3."/>
      <w:lvlJc w:val="left"/>
      <w:pPr>
        <w:tabs>
          <w:tab w:val="num" w:pos="2268"/>
        </w:tabs>
        <w:ind w:left="2268" w:hanging="283"/>
      </w:pPr>
      <w:rPr>
        <w:rFonts w:hint="default"/>
        <w:color w:val="5E78AD" w:themeColor="accent2"/>
      </w:rPr>
    </w:lvl>
    <w:lvl w:ilvl="3">
      <w:start w:val="1"/>
      <w:numFmt w:val="decimal"/>
      <w:lvlText w:val="%1.%2.%3.%4."/>
      <w:lvlJc w:val="left"/>
      <w:pPr>
        <w:tabs>
          <w:tab w:val="num" w:pos="2835"/>
        </w:tabs>
        <w:ind w:left="2835" w:hanging="283"/>
      </w:pPr>
      <w:rPr>
        <w:rFonts w:hint="default"/>
        <w:color w:val="5E78AD" w:themeColor="accent2"/>
      </w:rPr>
    </w:lvl>
    <w:lvl w:ilvl="4">
      <w:start w:val="1"/>
      <w:numFmt w:val="decimal"/>
      <w:lvlText w:val="%1.%2.%3.%4.%5."/>
      <w:lvlJc w:val="left"/>
      <w:pPr>
        <w:tabs>
          <w:tab w:val="num" w:pos="3402"/>
        </w:tabs>
        <w:ind w:left="3402" w:hanging="283"/>
      </w:pPr>
      <w:rPr>
        <w:rFonts w:hint="default"/>
        <w:color w:val="5E78AD" w:themeColor="accent2"/>
      </w:rPr>
    </w:lvl>
    <w:lvl w:ilvl="5">
      <w:start w:val="1"/>
      <w:numFmt w:val="decimal"/>
      <w:lvlText w:val="%1.%2.%3.%4.%5.%6."/>
      <w:lvlJc w:val="left"/>
      <w:pPr>
        <w:tabs>
          <w:tab w:val="num" w:pos="3969"/>
        </w:tabs>
        <w:ind w:left="3969" w:hanging="283"/>
      </w:pPr>
      <w:rPr>
        <w:rFonts w:hint="default"/>
        <w:color w:val="5E78AD" w:themeColor="accent2"/>
      </w:rPr>
    </w:lvl>
    <w:lvl w:ilvl="6">
      <w:start w:val="1"/>
      <w:numFmt w:val="decimal"/>
      <w:lvlText w:val="%1.%2.%3.%4.%5.%6.%7."/>
      <w:lvlJc w:val="left"/>
      <w:pPr>
        <w:tabs>
          <w:tab w:val="num" w:pos="4536"/>
        </w:tabs>
        <w:ind w:left="4536" w:hanging="283"/>
      </w:pPr>
      <w:rPr>
        <w:rFonts w:hint="default"/>
        <w:color w:val="5E78AD" w:themeColor="accent2"/>
      </w:rPr>
    </w:lvl>
    <w:lvl w:ilvl="7">
      <w:start w:val="1"/>
      <w:numFmt w:val="decimal"/>
      <w:lvlText w:val="%1.%2.%3.%4.%5.%6.%7.%8."/>
      <w:lvlJc w:val="left"/>
      <w:pPr>
        <w:tabs>
          <w:tab w:val="num" w:pos="5103"/>
        </w:tabs>
        <w:ind w:left="5103" w:hanging="283"/>
      </w:pPr>
      <w:rPr>
        <w:rFonts w:hint="default"/>
        <w:color w:val="5E78AD" w:themeColor="accent2"/>
      </w:rPr>
    </w:lvl>
    <w:lvl w:ilvl="8">
      <w:start w:val="1"/>
      <w:numFmt w:val="decimal"/>
      <w:lvlText w:val="%1.%2.%3.%4.%5.%6.%7.%8.%9."/>
      <w:lvlJc w:val="left"/>
      <w:pPr>
        <w:tabs>
          <w:tab w:val="num" w:pos="5670"/>
        </w:tabs>
        <w:ind w:left="5670" w:hanging="283"/>
      </w:pPr>
      <w:rPr>
        <w:rFonts w:hint="default"/>
        <w:color w:val="5E78AD" w:themeColor="accent2"/>
      </w:rPr>
    </w:lvl>
  </w:abstractNum>
  <w:abstractNum w:abstractNumId="5">
    <w:nsid w:val="49B86E14"/>
    <w:multiLevelType w:val="hybridMultilevel"/>
    <w:tmpl w:val="9D5EB54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D853BCA"/>
    <w:multiLevelType w:val="multilevel"/>
    <w:tmpl w:val="8C54DA82"/>
    <w:lvl w:ilvl="0">
      <w:start w:val="1"/>
      <w:numFmt w:val="bullet"/>
      <w:pStyle w:val="Bulletpoint"/>
      <w:lvlText w:val=""/>
      <w:lvlPicBulletId w:val="0"/>
      <w:lvlJc w:val="left"/>
      <w:pPr>
        <w:tabs>
          <w:tab w:val="num" w:pos="567"/>
        </w:tabs>
        <w:ind w:left="567" w:hanging="283"/>
      </w:pPr>
      <w:rPr>
        <w:rFonts w:ascii="Symbol" w:hAnsi="Symbol" w:hint="default"/>
      </w:rPr>
    </w:lvl>
    <w:lvl w:ilvl="1">
      <w:start w:val="1"/>
      <w:numFmt w:val="bullet"/>
      <w:lvlText w:val=""/>
      <w:lvlPicBulletId w:val="0"/>
      <w:lvlJc w:val="left"/>
      <w:pPr>
        <w:tabs>
          <w:tab w:val="num" w:pos="851"/>
        </w:tabs>
        <w:ind w:left="851" w:hanging="284"/>
      </w:pPr>
      <w:rPr>
        <w:rFonts w:ascii="Symbol" w:hAnsi="Symbol" w:hint="default"/>
      </w:rPr>
    </w:lvl>
    <w:lvl w:ilvl="2">
      <w:start w:val="1"/>
      <w:numFmt w:val="bullet"/>
      <w:lvlText w:val=""/>
      <w:lvlPicBulletId w:val="0"/>
      <w:lvlJc w:val="left"/>
      <w:pPr>
        <w:tabs>
          <w:tab w:val="num" w:pos="1134"/>
        </w:tabs>
        <w:ind w:left="1134" w:hanging="283"/>
      </w:pPr>
      <w:rPr>
        <w:rFonts w:ascii="Symbol" w:hAnsi="Symbol" w:hint="default"/>
      </w:rPr>
    </w:lvl>
    <w:lvl w:ilvl="3">
      <w:start w:val="1"/>
      <w:numFmt w:val="bullet"/>
      <w:lvlText w:val=""/>
      <w:lvlPicBulletId w:val="0"/>
      <w:lvlJc w:val="left"/>
      <w:pPr>
        <w:tabs>
          <w:tab w:val="num" w:pos="1418"/>
        </w:tabs>
        <w:ind w:left="1418" w:hanging="284"/>
      </w:pPr>
      <w:rPr>
        <w:rFonts w:ascii="Symbol" w:hAnsi="Symbol" w:hint="default"/>
      </w:rPr>
    </w:lvl>
    <w:lvl w:ilvl="4">
      <w:start w:val="1"/>
      <w:numFmt w:val="bullet"/>
      <w:lvlText w:val=""/>
      <w:lvlPicBulletId w:val="0"/>
      <w:lvlJc w:val="left"/>
      <w:pPr>
        <w:tabs>
          <w:tab w:val="num" w:pos="1701"/>
        </w:tabs>
        <w:ind w:left="1701" w:hanging="283"/>
      </w:pPr>
      <w:rPr>
        <w:rFonts w:ascii="Symbol" w:hAnsi="Symbol" w:hint="default"/>
      </w:rPr>
    </w:lvl>
    <w:lvl w:ilvl="5">
      <w:start w:val="1"/>
      <w:numFmt w:val="bullet"/>
      <w:lvlText w:val=""/>
      <w:lvlPicBulletId w:val="0"/>
      <w:lvlJc w:val="left"/>
      <w:pPr>
        <w:tabs>
          <w:tab w:val="num" w:pos="1985"/>
        </w:tabs>
        <w:ind w:left="1985" w:hanging="284"/>
      </w:pPr>
      <w:rPr>
        <w:rFonts w:ascii="Symbol" w:hAnsi="Symbol" w:hint="default"/>
      </w:rPr>
    </w:lvl>
    <w:lvl w:ilvl="6">
      <w:start w:val="1"/>
      <w:numFmt w:val="bullet"/>
      <w:lvlText w:val=""/>
      <w:lvlPicBulletId w:val="0"/>
      <w:lvlJc w:val="left"/>
      <w:pPr>
        <w:tabs>
          <w:tab w:val="num" w:pos="2268"/>
        </w:tabs>
        <w:ind w:left="2268" w:hanging="283"/>
      </w:pPr>
      <w:rPr>
        <w:rFonts w:ascii="Symbol" w:hAnsi="Symbol" w:hint="default"/>
      </w:rPr>
    </w:lvl>
    <w:lvl w:ilvl="7">
      <w:start w:val="1"/>
      <w:numFmt w:val="bullet"/>
      <w:lvlText w:val=""/>
      <w:lvlPicBulletId w:val="0"/>
      <w:lvlJc w:val="left"/>
      <w:pPr>
        <w:tabs>
          <w:tab w:val="num" w:pos="2552"/>
        </w:tabs>
        <w:ind w:left="2552" w:hanging="284"/>
      </w:pPr>
      <w:rPr>
        <w:rFonts w:ascii="Symbol" w:hAnsi="Symbol" w:hint="default"/>
      </w:rPr>
    </w:lvl>
    <w:lvl w:ilvl="8">
      <w:start w:val="1"/>
      <w:numFmt w:val="bullet"/>
      <w:lvlText w:val=""/>
      <w:lvlPicBulletId w:val="0"/>
      <w:lvlJc w:val="left"/>
      <w:pPr>
        <w:tabs>
          <w:tab w:val="num" w:pos="2835"/>
        </w:tabs>
        <w:ind w:left="2835" w:hanging="283"/>
      </w:pPr>
      <w:rPr>
        <w:rFonts w:ascii="Symbol" w:hAnsi="Symbol" w:hint="default"/>
      </w:rPr>
    </w:lvl>
  </w:abstractNum>
  <w:abstractNum w:abstractNumId="7">
    <w:nsid w:val="4F80237D"/>
    <w:multiLevelType w:val="multilevel"/>
    <w:tmpl w:val="8C54DA82"/>
    <w:styleLink w:val="COST"/>
    <w:lvl w:ilvl="0">
      <w:start w:val="1"/>
      <w:numFmt w:val="bullet"/>
      <w:lvlText w:val=""/>
      <w:lvlPicBulletId w:val="0"/>
      <w:lvlJc w:val="left"/>
      <w:pPr>
        <w:tabs>
          <w:tab w:val="num" w:pos="567"/>
        </w:tabs>
        <w:ind w:left="567" w:hanging="283"/>
      </w:pPr>
      <w:rPr>
        <w:rFonts w:ascii="Symbol" w:hAnsi="Symbol" w:hint="default"/>
      </w:rPr>
    </w:lvl>
    <w:lvl w:ilvl="1">
      <w:start w:val="1"/>
      <w:numFmt w:val="bullet"/>
      <w:lvlText w:val=""/>
      <w:lvlPicBulletId w:val="0"/>
      <w:lvlJc w:val="left"/>
      <w:pPr>
        <w:tabs>
          <w:tab w:val="num" w:pos="851"/>
        </w:tabs>
        <w:ind w:left="851" w:hanging="284"/>
      </w:pPr>
      <w:rPr>
        <w:rFonts w:ascii="Symbol" w:hAnsi="Symbol" w:hint="default"/>
      </w:rPr>
    </w:lvl>
    <w:lvl w:ilvl="2">
      <w:start w:val="1"/>
      <w:numFmt w:val="bullet"/>
      <w:lvlText w:val=""/>
      <w:lvlPicBulletId w:val="0"/>
      <w:lvlJc w:val="left"/>
      <w:pPr>
        <w:tabs>
          <w:tab w:val="num" w:pos="1134"/>
        </w:tabs>
        <w:ind w:left="1134" w:hanging="283"/>
      </w:pPr>
      <w:rPr>
        <w:rFonts w:ascii="Symbol" w:hAnsi="Symbol" w:hint="default"/>
      </w:rPr>
    </w:lvl>
    <w:lvl w:ilvl="3">
      <w:start w:val="1"/>
      <w:numFmt w:val="bullet"/>
      <w:lvlText w:val=""/>
      <w:lvlPicBulletId w:val="0"/>
      <w:lvlJc w:val="left"/>
      <w:pPr>
        <w:tabs>
          <w:tab w:val="num" w:pos="1418"/>
        </w:tabs>
        <w:ind w:left="1418" w:hanging="284"/>
      </w:pPr>
      <w:rPr>
        <w:rFonts w:ascii="Symbol" w:hAnsi="Symbol" w:hint="default"/>
      </w:rPr>
    </w:lvl>
    <w:lvl w:ilvl="4">
      <w:start w:val="1"/>
      <w:numFmt w:val="bullet"/>
      <w:lvlText w:val=""/>
      <w:lvlPicBulletId w:val="0"/>
      <w:lvlJc w:val="left"/>
      <w:pPr>
        <w:tabs>
          <w:tab w:val="num" w:pos="1701"/>
        </w:tabs>
        <w:ind w:left="1701" w:hanging="283"/>
      </w:pPr>
      <w:rPr>
        <w:rFonts w:ascii="Symbol" w:hAnsi="Symbol" w:hint="default"/>
      </w:rPr>
    </w:lvl>
    <w:lvl w:ilvl="5">
      <w:start w:val="1"/>
      <w:numFmt w:val="bullet"/>
      <w:lvlText w:val=""/>
      <w:lvlPicBulletId w:val="0"/>
      <w:lvlJc w:val="left"/>
      <w:pPr>
        <w:tabs>
          <w:tab w:val="num" w:pos="1985"/>
        </w:tabs>
        <w:ind w:left="1985" w:hanging="284"/>
      </w:pPr>
      <w:rPr>
        <w:rFonts w:ascii="Symbol" w:hAnsi="Symbol" w:hint="default"/>
      </w:rPr>
    </w:lvl>
    <w:lvl w:ilvl="6">
      <w:start w:val="1"/>
      <w:numFmt w:val="bullet"/>
      <w:lvlText w:val=""/>
      <w:lvlPicBulletId w:val="0"/>
      <w:lvlJc w:val="left"/>
      <w:pPr>
        <w:tabs>
          <w:tab w:val="num" w:pos="2268"/>
        </w:tabs>
        <w:ind w:left="2268" w:hanging="283"/>
      </w:pPr>
      <w:rPr>
        <w:rFonts w:ascii="Symbol" w:hAnsi="Symbol" w:hint="default"/>
      </w:rPr>
    </w:lvl>
    <w:lvl w:ilvl="7">
      <w:start w:val="1"/>
      <w:numFmt w:val="bullet"/>
      <w:lvlText w:val=""/>
      <w:lvlPicBulletId w:val="0"/>
      <w:lvlJc w:val="left"/>
      <w:pPr>
        <w:tabs>
          <w:tab w:val="num" w:pos="2552"/>
        </w:tabs>
        <w:ind w:left="2552" w:hanging="284"/>
      </w:pPr>
      <w:rPr>
        <w:rFonts w:ascii="Symbol" w:hAnsi="Symbol" w:hint="default"/>
      </w:rPr>
    </w:lvl>
    <w:lvl w:ilvl="8">
      <w:start w:val="1"/>
      <w:numFmt w:val="bullet"/>
      <w:lvlText w:val=""/>
      <w:lvlPicBulletId w:val="0"/>
      <w:lvlJc w:val="left"/>
      <w:pPr>
        <w:tabs>
          <w:tab w:val="num" w:pos="2835"/>
        </w:tabs>
        <w:ind w:left="2835" w:hanging="283"/>
      </w:pPr>
      <w:rPr>
        <w:rFonts w:ascii="Symbol" w:hAnsi="Symbol" w:hint="default"/>
      </w:rPr>
    </w:lvl>
  </w:abstractNum>
  <w:num w:numId="1">
    <w:abstractNumId w:val="1"/>
  </w:num>
  <w:num w:numId="2">
    <w:abstractNumId w:val="6"/>
  </w:num>
  <w:num w:numId="3">
    <w:abstractNumId w:val="7"/>
  </w:num>
  <w:num w:numId="4">
    <w:abstractNumId w:val="4"/>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stylePaneFormatFilter w:val="1004"/>
  <w:defaultTabStop w:val="708"/>
  <w:hyphenationZone w:val="425"/>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5770E3"/>
    <w:rsid w:val="00042125"/>
    <w:rsid w:val="000502B0"/>
    <w:rsid w:val="00056F42"/>
    <w:rsid w:val="00071487"/>
    <w:rsid w:val="000819FD"/>
    <w:rsid w:val="0008734A"/>
    <w:rsid w:val="000D0EC9"/>
    <w:rsid w:val="000D665C"/>
    <w:rsid w:val="000E50CB"/>
    <w:rsid w:val="000F54CA"/>
    <w:rsid w:val="00101381"/>
    <w:rsid w:val="00113331"/>
    <w:rsid w:val="00122D96"/>
    <w:rsid w:val="0014551F"/>
    <w:rsid w:val="0017113B"/>
    <w:rsid w:val="00172F75"/>
    <w:rsid w:val="0017498A"/>
    <w:rsid w:val="00181660"/>
    <w:rsid w:val="0018412A"/>
    <w:rsid w:val="00196ED6"/>
    <w:rsid w:val="001C1A5F"/>
    <w:rsid w:val="001C3E87"/>
    <w:rsid w:val="001D32BE"/>
    <w:rsid w:val="001E51B4"/>
    <w:rsid w:val="001E601B"/>
    <w:rsid w:val="002050E6"/>
    <w:rsid w:val="002232AF"/>
    <w:rsid w:val="00231490"/>
    <w:rsid w:val="00285A54"/>
    <w:rsid w:val="002D5667"/>
    <w:rsid w:val="003116DF"/>
    <w:rsid w:val="003127A2"/>
    <w:rsid w:val="00324DF6"/>
    <w:rsid w:val="00347A65"/>
    <w:rsid w:val="00353E0B"/>
    <w:rsid w:val="003573E0"/>
    <w:rsid w:val="0036232D"/>
    <w:rsid w:val="00386D3F"/>
    <w:rsid w:val="0039283D"/>
    <w:rsid w:val="003A3251"/>
    <w:rsid w:val="003A5BFB"/>
    <w:rsid w:val="003A5CB0"/>
    <w:rsid w:val="003B54C9"/>
    <w:rsid w:val="003B59E7"/>
    <w:rsid w:val="003E7115"/>
    <w:rsid w:val="0040461C"/>
    <w:rsid w:val="00415B74"/>
    <w:rsid w:val="0041648F"/>
    <w:rsid w:val="00430C33"/>
    <w:rsid w:val="00434377"/>
    <w:rsid w:val="00453551"/>
    <w:rsid w:val="0046200D"/>
    <w:rsid w:val="00462342"/>
    <w:rsid w:val="00471C1C"/>
    <w:rsid w:val="0048049A"/>
    <w:rsid w:val="00496AF2"/>
    <w:rsid w:val="004F1430"/>
    <w:rsid w:val="004F673B"/>
    <w:rsid w:val="004F7609"/>
    <w:rsid w:val="00502099"/>
    <w:rsid w:val="00507965"/>
    <w:rsid w:val="005145EB"/>
    <w:rsid w:val="005321FD"/>
    <w:rsid w:val="00547BA4"/>
    <w:rsid w:val="00551257"/>
    <w:rsid w:val="005675FC"/>
    <w:rsid w:val="00567739"/>
    <w:rsid w:val="005727EB"/>
    <w:rsid w:val="005770E3"/>
    <w:rsid w:val="005808D9"/>
    <w:rsid w:val="0059125B"/>
    <w:rsid w:val="005A2673"/>
    <w:rsid w:val="005B1182"/>
    <w:rsid w:val="005B1803"/>
    <w:rsid w:val="005B243A"/>
    <w:rsid w:val="005E4D74"/>
    <w:rsid w:val="005F16F7"/>
    <w:rsid w:val="00630011"/>
    <w:rsid w:val="00650FE3"/>
    <w:rsid w:val="00683DBD"/>
    <w:rsid w:val="00692EE6"/>
    <w:rsid w:val="006961C9"/>
    <w:rsid w:val="006B22CF"/>
    <w:rsid w:val="006C01FE"/>
    <w:rsid w:val="006D3906"/>
    <w:rsid w:val="006F1D77"/>
    <w:rsid w:val="006F5D84"/>
    <w:rsid w:val="007104DE"/>
    <w:rsid w:val="00721D22"/>
    <w:rsid w:val="0073296A"/>
    <w:rsid w:val="00734932"/>
    <w:rsid w:val="00736ADE"/>
    <w:rsid w:val="00753B15"/>
    <w:rsid w:val="007717AB"/>
    <w:rsid w:val="00774763"/>
    <w:rsid w:val="00786542"/>
    <w:rsid w:val="00792709"/>
    <w:rsid w:val="007B2731"/>
    <w:rsid w:val="007B5BF7"/>
    <w:rsid w:val="00801FBE"/>
    <w:rsid w:val="008037E6"/>
    <w:rsid w:val="008060D5"/>
    <w:rsid w:val="0084206D"/>
    <w:rsid w:val="008510AA"/>
    <w:rsid w:val="00851130"/>
    <w:rsid w:val="00864B8A"/>
    <w:rsid w:val="00884865"/>
    <w:rsid w:val="008A1B41"/>
    <w:rsid w:val="008A48FB"/>
    <w:rsid w:val="008D41D4"/>
    <w:rsid w:val="008D58DB"/>
    <w:rsid w:val="008E223F"/>
    <w:rsid w:val="008E3111"/>
    <w:rsid w:val="0090460B"/>
    <w:rsid w:val="00925BD4"/>
    <w:rsid w:val="00933036"/>
    <w:rsid w:val="00944A2B"/>
    <w:rsid w:val="009471FF"/>
    <w:rsid w:val="00947D10"/>
    <w:rsid w:val="00963B82"/>
    <w:rsid w:val="009721F0"/>
    <w:rsid w:val="00983788"/>
    <w:rsid w:val="009E6B67"/>
    <w:rsid w:val="00A17795"/>
    <w:rsid w:val="00A222F4"/>
    <w:rsid w:val="00A312E6"/>
    <w:rsid w:val="00A33352"/>
    <w:rsid w:val="00A35C5C"/>
    <w:rsid w:val="00A442F3"/>
    <w:rsid w:val="00A728D7"/>
    <w:rsid w:val="00A73F3B"/>
    <w:rsid w:val="00A97B59"/>
    <w:rsid w:val="00A97F8C"/>
    <w:rsid w:val="00AB22E5"/>
    <w:rsid w:val="00AC0D6C"/>
    <w:rsid w:val="00AC1122"/>
    <w:rsid w:val="00AD0CB5"/>
    <w:rsid w:val="00AE35C8"/>
    <w:rsid w:val="00AE6DD9"/>
    <w:rsid w:val="00AF6ACF"/>
    <w:rsid w:val="00B050AD"/>
    <w:rsid w:val="00B2635F"/>
    <w:rsid w:val="00B308EA"/>
    <w:rsid w:val="00B37BC9"/>
    <w:rsid w:val="00B55A59"/>
    <w:rsid w:val="00B64B1E"/>
    <w:rsid w:val="00B82E71"/>
    <w:rsid w:val="00B9104F"/>
    <w:rsid w:val="00B919D5"/>
    <w:rsid w:val="00BA0A3F"/>
    <w:rsid w:val="00BD7689"/>
    <w:rsid w:val="00C012BE"/>
    <w:rsid w:val="00C10B3C"/>
    <w:rsid w:val="00C12AD6"/>
    <w:rsid w:val="00C26592"/>
    <w:rsid w:val="00C50EAE"/>
    <w:rsid w:val="00C63D6F"/>
    <w:rsid w:val="00C76FF9"/>
    <w:rsid w:val="00C810C7"/>
    <w:rsid w:val="00CB2878"/>
    <w:rsid w:val="00CE5DC6"/>
    <w:rsid w:val="00CE71CE"/>
    <w:rsid w:val="00D174E9"/>
    <w:rsid w:val="00D30F99"/>
    <w:rsid w:val="00D34140"/>
    <w:rsid w:val="00D87D1E"/>
    <w:rsid w:val="00D94FC9"/>
    <w:rsid w:val="00DA3CBB"/>
    <w:rsid w:val="00DB0565"/>
    <w:rsid w:val="00DB184C"/>
    <w:rsid w:val="00DB315D"/>
    <w:rsid w:val="00DB7ABE"/>
    <w:rsid w:val="00DD1003"/>
    <w:rsid w:val="00E02E5F"/>
    <w:rsid w:val="00E04B7E"/>
    <w:rsid w:val="00E068B7"/>
    <w:rsid w:val="00E10FF1"/>
    <w:rsid w:val="00E2595C"/>
    <w:rsid w:val="00E264A6"/>
    <w:rsid w:val="00E26946"/>
    <w:rsid w:val="00E36E40"/>
    <w:rsid w:val="00E4345B"/>
    <w:rsid w:val="00E434F7"/>
    <w:rsid w:val="00E46A07"/>
    <w:rsid w:val="00E52E6D"/>
    <w:rsid w:val="00E53F4A"/>
    <w:rsid w:val="00E674D3"/>
    <w:rsid w:val="00EA701A"/>
    <w:rsid w:val="00EC58EA"/>
    <w:rsid w:val="00EE4264"/>
    <w:rsid w:val="00EE6C68"/>
    <w:rsid w:val="00F23AC3"/>
    <w:rsid w:val="00F24F32"/>
    <w:rsid w:val="00F43B84"/>
    <w:rsid w:val="00F46B51"/>
    <w:rsid w:val="00F55A31"/>
    <w:rsid w:val="00FA33B1"/>
    <w:rsid w:val="00FB3C83"/>
    <w:rsid w:val="00FB62ED"/>
    <w:rsid w:val="00FB7921"/>
    <w:rsid w:val="00FC333B"/>
    <w:rsid w:val="00FE3C1E"/>
    <w:rsid w:val="00FE3D48"/>
    <w:rsid w:val="00FE742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aliases w:val="Text"/>
    <w:qFormat/>
    <w:rsid w:val="008E223F"/>
    <w:pPr>
      <w:spacing w:after="200" w:line="260" w:lineRule="atLeast"/>
      <w:jc w:val="both"/>
    </w:pPr>
    <w:rPr>
      <w:rFonts w:ascii="Arial" w:eastAsiaTheme="minorEastAsia" w:hAnsi="Arial"/>
      <w:color w:val="656865" w:themeColor="text2"/>
      <w:sz w:val="20"/>
      <w:szCs w:val="20"/>
      <w:lang w:val="en-GB"/>
    </w:rPr>
  </w:style>
  <w:style w:type="paragraph" w:styleId="Naslov1">
    <w:name w:val="heading 1"/>
    <w:basedOn w:val="Navaden"/>
    <w:next w:val="Navaden"/>
    <w:link w:val="Naslov1Znak"/>
    <w:uiPriority w:val="9"/>
    <w:qFormat/>
    <w:rsid w:val="00CE5DC6"/>
    <w:pPr>
      <w:numPr>
        <w:numId w:val="1"/>
      </w:numPr>
      <w:spacing w:before="240" w:after="240" w:line="360" w:lineRule="exact"/>
      <w:outlineLvl w:val="0"/>
    </w:pPr>
    <w:rPr>
      <w:rFonts w:eastAsiaTheme="minorHAnsi" w:cs="Arial"/>
      <w:b/>
      <w:bCs/>
      <w:caps/>
      <w:color w:val="5E78AD" w:themeColor="accent2"/>
      <w:spacing w:val="5"/>
      <w:sz w:val="32"/>
      <w:szCs w:val="32"/>
      <w:lang w:val="en-US"/>
    </w:rPr>
  </w:style>
  <w:style w:type="paragraph" w:styleId="Naslov2">
    <w:name w:val="heading 2"/>
    <w:basedOn w:val="Navaden"/>
    <w:next w:val="Navaden"/>
    <w:link w:val="Naslov2Znak"/>
    <w:uiPriority w:val="9"/>
    <w:unhideWhenUsed/>
    <w:qFormat/>
    <w:rsid w:val="00AD0CB5"/>
    <w:pPr>
      <w:numPr>
        <w:ilvl w:val="1"/>
        <w:numId w:val="1"/>
      </w:numPr>
      <w:spacing w:before="240" w:after="240" w:line="320" w:lineRule="exact"/>
      <w:outlineLvl w:val="1"/>
    </w:pPr>
    <w:rPr>
      <w:rFonts w:cs="Arial"/>
      <w:b/>
      <w:bCs/>
      <w:caps/>
      <w:color w:val="5E78AD" w:themeColor="accent2"/>
      <w:sz w:val="24"/>
      <w:szCs w:val="40"/>
    </w:rPr>
  </w:style>
  <w:style w:type="paragraph" w:styleId="Naslov3">
    <w:name w:val="heading 3"/>
    <w:next w:val="Navaden"/>
    <w:link w:val="Naslov3Znak"/>
    <w:uiPriority w:val="9"/>
    <w:unhideWhenUsed/>
    <w:qFormat/>
    <w:rsid w:val="00AD0CB5"/>
    <w:pPr>
      <w:numPr>
        <w:ilvl w:val="2"/>
        <w:numId w:val="1"/>
      </w:numPr>
      <w:spacing w:before="240" w:after="240"/>
      <w:outlineLvl w:val="2"/>
    </w:pPr>
    <w:rPr>
      <w:rFonts w:ascii="Arial" w:eastAsiaTheme="minorEastAsia" w:hAnsi="Arial" w:cs="Arial"/>
      <w:bCs/>
      <w:caps/>
      <w:color w:val="5E78AD" w:themeColor="accent2"/>
      <w:sz w:val="20"/>
      <w:lang w:val="en-GB"/>
    </w:rPr>
  </w:style>
  <w:style w:type="paragraph" w:styleId="Naslov4">
    <w:name w:val="heading 4"/>
    <w:basedOn w:val="Navaden"/>
    <w:next w:val="Navaden"/>
    <w:link w:val="Naslov4Znak"/>
    <w:uiPriority w:val="9"/>
    <w:unhideWhenUsed/>
    <w:qFormat/>
    <w:rsid w:val="00AD0CB5"/>
    <w:pPr>
      <w:numPr>
        <w:ilvl w:val="3"/>
        <w:numId w:val="1"/>
      </w:numPr>
      <w:spacing w:before="240" w:after="240" w:line="320" w:lineRule="exact"/>
      <w:outlineLvl w:val="3"/>
    </w:pPr>
    <w:rPr>
      <w:color w:val="5E78AD" w:themeColor="accent2"/>
      <w:szCs w:val="28"/>
    </w:rPr>
  </w:style>
  <w:style w:type="paragraph" w:styleId="Naslov5">
    <w:name w:val="heading 5"/>
    <w:basedOn w:val="Navaden"/>
    <w:next w:val="Navaden"/>
    <w:link w:val="Naslov5Znak"/>
    <w:uiPriority w:val="9"/>
    <w:unhideWhenUsed/>
    <w:rsid w:val="005F16F7"/>
    <w:pPr>
      <w:keepNext/>
      <w:keepLines/>
      <w:spacing w:before="40" w:after="0"/>
      <w:outlineLvl w:val="4"/>
    </w:pPr>
    <w:rPr>
      <w:rFonts w:asciiTheme="majorHAnsi" w:eastAsiaTheme="majorEastAsia" w:hAnsiTheme="majorHAnsi" w:cstheme="majorBidi"/>
      <w:color w:val="1C254A"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Introduction">
    <w:name w:val="Introduction"/>
    <w:basedOn w:val="Navaden"/>
    <w:autoRedefine/>
    <w:rsid w:val="00C76FF9"/>
    <w:pPr>
      <w:spacing w:after="0" w:line="240" w:lineRule="auto"/>
    </w:pPr>
    <w:rPr>
      <w:caps/>
      <w:sz w:val="32"/>
      <w:szCs w:val="36"/>
    </w:rPr>
  </w:style>
  <w:style w:type="character" w:customStyle="1" w:styleId="Naslov1Znak">
    <w:name w:val="Naslov 1 Znak"/>
    <w:basedOn w:val="Privzetapisavaodstavka"/>
    <w:link w:val="Naslov1"/>
    <w:uiPriority w:val="9"/>
    <w:rsid w:val="00CE5DC6"/>
    <w:rPr>
      <w:rFonts w:ascii="Arial" w:hAnsi="Arial" w:cs="Arial"/>
      <w:b/>
      <w:bCs/>
      <w:caps/>
      <w:color w:val="5E78AD" w:themeColor="accent2"/>
      <w:spacing w:val="5"/>
      <w:sz w:val="32"/>
      <w:szCs w:val="32"/>
      <w:lang w:val="en-US"/>
    </w:rPr>
  </w:style>
  <w:style w:type="paragraph" w:styleId="Podnaslov">
    <w:name w:val="Subtitle"/>
    <w:basedOn w:val="Navaden"/>
    <w:next w:val="Navaden"/>
    <w:link w:val="PodnaslovZnak"/>
    <w:autoRedefine/>
    <w:uiPriority w:val="11"/>
    <w:rsid w:val="00C76FF9"/>
    <w:pPr>
      <w:numPr>
        <w:ilvl w:val="1"/>
      </w:numPr>
      <w:spacing w:after="240" w:line="240" w:lineRule="auto"/>
    </w:pPr>
    <w:rPr>
      <w:rFonts w:asciiTheme="minorHAnsi" w:hAnsiTheme="minorHAnsi"/>
      <w:color w:val="5A5A5A" w:themeColor="text1" w:themeTint="A5"/>
      <w:spacing w:val="15"/>
      <w:sz w:val="24"/>
      <w:szCs w:val="22"/>
    </w:rPr>
  </w:style>
  <w:style w:type="character" w:customStyle="1" w:styleId="PodnaslovZnak">
    <w:name w:val="Podnaslov Znak"/>
    <w:basedOn w:val="Privzetapisavaodstavka"/>
    <w:link w:val="Podnaslov"/>
    <w:uiPriority w:val="11"/>
    <w:rsid w:val="00C76FF9"/>
    <w:rPr>
      <w:color w:val="5A5A5A" w:themeColor="text1" w:themeTint="A5"/>
      <w:spacing w:val="15"/>
      <w:szCs w:val="22"/>
    </w:rPr>
  </w:style>
  <w:style w:type="character" w:customStyle="1" w:styleId="Naslov2Znak">
    <w:name w:val="Naslov 2 Znak"/>
    <w:basedOn w:val="Privzetapisavaodstavka"/>
    <w:link w:val="Naslov2"/>
    <w:uiPriority w:val="9"/>
    <w:rsid w:val="00AD0CB5"/>
    <w:rPr>
      <w:rFonts w:ascii="Arial" w:eastAsiaTheme="minorEastAsia" w:hAnsi="Arial" w:cs="Arial"/>
      <w:b/>
      <w:bCs/>
      <w:caps/>
      <w:color w:val="5E78AD" w:themeColor="accent2"/>
      <w:szCs w:val="40"/>
      <w:lang w:val="en-GB"/>
    </w:rPr>
  </w:style>
  <w:style w:type="table" w:customStyle="1" w:styleId="Style1">
    <w:name w:val="Style1"/>
    <w:basedOn w:val="Navadnatabela"/>
    <w:uiPriority w:val="99"/>
    <w:rsid w:val="00EE6C68"/>
    <w:rPr>
      <w:rFonts w:ascii="Rockwell" w:eastAsiaTheme="minorEastAsia" w:hAnsi="Rockwell"/>
      <w:sz w:val="20"/>
      <w:szCs w:val="20"/>
    </w:rPr>
    <w:tblPr>
      <w:tblInd w:w="0" w:type="dxa"/>
      <w:tblCellMar>
        <w:top w:w="0" w:type="dxa"/>
        <w:left w:w="108" w:type="dxa"/>
        <w:bottom w:w="0" w:type="dxa"/>
        <w:right w:w="108" w:type="dxa"/>
      </w:tblCellMar>
    </w:tblPr>
  </w:style>
  <w:style w:type="paragraph" w:styleId="Glava">
    <w:name w:val="header"/>
    <w:basedOn w:val="Navaden"/>
    <w:link w:val="GlavaZnak"/>
    <w:uiPriority w:val="99"/>
    <w:unhideWhenUsed/>
    <w:rsid w:val="0041648F"/>
    <w:pPr>
      <w:tabs>
        <w:tab w:val="center" w:pos="4536"/>
        <w:tab w:val="right" w:pos="9072"/>
      </w:tabs>
      <w:spacing w:after="0" w:line="240" w:lineRule="auto"/>
    </w:pPr>
  </w:style>
  <w:style w:type="character" w:customStyle="1" w:styleId="GlavaZnak">
    <w:name w:val="Glava Znak"/>
    <w:basedOn w:val="Privzetapisavaodstavka"/>
    <w:link w:val="Glava"/>
    <w:uiPriority w:val="99"/>
    <w:rsid w:val="0041648F"/>
    <w:rPr>
      <w:rFonts w:ascii="Calibri" w:eastAsiaTheme="minorEastAsia" w:hAnsi="Calibri"/>
      <w:color w:val="1A1A1A" w:themeColor="background1" w:themeShade="1A"/>
      <w:sz w:val="22"/>
      <w:szCs w:val="20"/>
    </w:rPr>
  </w:style>
  <w:style w:type="paragraph" w:styleId="Noga">
    <w:name w:val="footer"/>
    <w:basedOn w:val="Navaden"/>
    <w:link w:val="NogaZnak"/>
    <w:uiPriority w:val="99"/>
    <w:unhideWhenUsed/>
    <w:rsid w:val="0041648F"/>
    <w:pPr>
      <w:tabs>
        <w:tab w:val="center" w:pos="4536"/>
        <w:tab w:val="right" w:pos="9072"/>
      </w:tabs>
      <w:spacing w:after="0" w:line="240" w:lineRule="auto"/>
    </w:pPr>
  </w:style>
  <w:style w:type="character" w:customStyle="1" w:styleId="NogaZnak">
    <w:name w:val="Noga Znak"/>
    <w:basedOn w:val="Privzetapisavaodstavka"/>
    <w:link w:val="Noga"/>
    <w:uiPriority w:val="99"/>
    <w:rsid w:val="0041648F"/>
    <w:rPr>
      <w:rFonts w:ascii="Calibri" w:eastAsiaTheme="minorEastAsia" w:hAnsi="Calibri"/>
      <w:color w:val="1A1A1A" w:themeColor="background1" w:themeShade="1A"/>
      <w:sz w:val="22"/>
      <w:szCs w:val="20"/>
    </w:rPr>
  </w:style>
  <w:style w:type="character" w:styleId="tevilkastrani">
    <w:name w:val="page number"/>
    <w:basedOn w:val="Privzetapisavaodstavka"/>
    <w:uiPriority w:val="99"/>
    <w:semiHidden/>
    <w:unhideWhenUsed/>
    <w:rsid w:val="00B64B1E"/>
  </w:style>
  <w:style w:type="paragraph" w:styleId="Brezrazmikov">
    <w:name w:val="No Spacing"/>
    <w:uiPriority w:val="1"/>
    <w:rsid w:val="00D174E9"/>
    <w:rPr>
      <w:rFonts w:ascii="Calibri" w:eastAsiaTheme="minorEastAsia" w:hAnsi="Calibri"/>
      <w:color w:val="1A1A1A" w:themeColor="background1" w:themeShade="1A"/>
      <w:sz w:val="22"/>
      <w:szCs w:val="20"/>
    </w:rPr>
  </w:style>
  <w:style w:type="paragraph" w:customStyle="1" w:styleId="Header1">
    <w:name w:val="Header1"/>
    <w:rsid w:val="005F16F7"/>
    <w:pPr>
      <w:jc w:val="right"/>
    </w:pPr>
    <w:rPr>
      <w:rFonts w:ascii="Exo" w:eastAsiaTheme="minorEastAsia" w:hAnsi="Exo"/>
      <w:b/>
      <w:bCs/>
      <w:color w:val="5E78AD" w:themeColor="accent2"/>
      <w:sz w:val="22"/>
      <w:szCs w:val="20"/>
      <w:lang w:val="nl-BE"/>
    </w:rPr>
  </w:style>
  <w:style w:type="character" w:customStyle="1" w:styleId="Naslov3Znak">
    <w:name w:val="Naslov 3 Znak"/>
    <w:basedOn w:val="Privzetapisavaodstavka"/>
    <w:link w:val="Naslov3"/>
    <w:uiPriority w:val="9"/>
    <w:rsid w:val="00AD0CB5"/>
    <w:rPr>
      <w:rFonts w:ascii="Arial" w:eastAsiaTheme="minorEastAsia" w:hAnsi="Arial" w:cs="Arial"/>
      <w:bCs/>
      <w:caps/>
      <w:color w:val="5E78AD" w:themeColor="accent2"/>
      <w:sz w:val="20"/>
      <w:lang w:val="en-GB"/>
    </w:rPr>
  </w:style>
  <w:style w:type="paragraph" w:styleId="Naslov">
    <w:name w:val="Title"/>
    <w:basedOn w:val="Navaden"/>
    <w:next w:val="Navaden"/>
    <w:link w:val="NaslovZnak"/>
    <w:uiPriority w:val="10"/>
    <w:rsid w:val="00324DF6"/>
    <w:pPr>
      <w:spacing w:after="0" w:line="240" w:lineRule="auto"/>
      <w:contextualSpacing/>
    </w:pPr>
    <w:rPr>
      <w:rFonts w:eastAsiaTheme="majorEastAsia" w:cstheme="majorBidi"/>
      <w:color w:val="auto"/>
      <w:spacing w:val="-10"/>
      <w:kern w:val="28"/>
      <w:sz w:val="56"/>
      <w:szCs w:val="56"/>
    </w:rPr>
  </w:style>
  <w:style w:type="character" w:customStyle="1" w:styleId="NaslovZnak">
    <w:name w:val="Naslov Znak"/>
    <w:basedOn w:val="Privzetapisavaodstavka"/>
    <w:link w:val="Naslov"/>
    <w:uiPriority w:val="10"/>
    <w:rsid w:val="00324DF6"/>
    <w:rPr>
      <w:rFonts w:ascii="Arial" w:eastAsiaTheme="majorEastAsia" w:hAnsi="Arial" w:cstheme="majorBidi"/>
      <w:spacing w:val="-10"/>
      <w:kern w:val="28"/>
      <w:sz w:val="56"/>
      <w:szCs w:val="56"/>
      <w:lang w:val="en-GB"/>
    </w:rPr>
  </w:style>
  <w:style w:type="character" w:customStyle="1" w:styleId="Naslov4Znak">
    <w:name w:val="Naslov 4 Znak"/>
    <w:basedOn w:val="Privzetapisavaodstavka"/>
    <w:link w:val="Naslov4"/>
    <w:uiPriority w:val="9"/>
    <w:rsid w:val="00AD0CB5"/>
    <w:rPr>
      <w:rFonts w:ascii="Arial" w:eastAsiaTheme="minorEastAsia" w:hAnsi="Arial"/>
      <w:color w:val="5E78AD" w:themeColor="accent2"/>
      <w:sz w:val="20"/>
      <w:szCs w:val="28"/>
      <w:lang w:val="en-GB"/>
    </w:rPr>
  </w:style>
  <w:style w:type="character" w:customStyle="1" w:styleId="Naslov5Znak">
    <w:name w:val="Naslov 5 Znak"/>
    <w:basedOn w:val="Privzetapisavaodstavka"/>
    <w:link w:val="Naslov5"/>
    <w:uiPriority w:val="9"/>
    <w:rsid w:val="005F16F7"/>
    <w:rPr>
      <w:rFonts w:asciiTheme="majorHAnsi" w:eastAsiaTheme="majorEastAsia" w:hAnsiTheme="majorHAnsi" w:cstheme="majorBidi"/>
      <w:color w:val="1C254A" w:themeColor="accent1" w:themeShade="BF"/>
      <w:szCs w:val="20"/>
      <w:lang w:val="en-GB"/>
    </w:rPr>
  </w:style>
  <w:style w:type="paragraph" w:customStyle="1" w:styleId="Footer1">
    <w:name w:val="Footer1"/>
    <w:basedOn w:val="Navaden"/>
    <w:rsid w:val="00C810C7"/>
    <w:pPr>
      <w:jc w:val="right"/>
    </w:pPr>
    <w:rPr>
      <w:lang w:val="nl-BE"/>
    </w:rPr>
  </w:style>
  <w:style w:type="paragraph" w:styleId="Intenzivencitat">
    <w:name w:val="Intense Quote"/>
    <w:aliases w:val="Quote"/>
    <w:basedOn w:val="Navaden"/>
    <w:next w:val="Navaden"/>
    <w:link w:val="IntenzivencitatZnak"/>
    <w:uiPriority w:val="30"/>
    <w:qFormat/>
    <w:rsid w:val="008E3111"/>
    <w:pPr>
      <w:pBdr>
        <w:top w:val="single" w:sz="4" w:space="10" w:color="5E78AD" w:themeColor="accent2"/>
        <w:bottom w:val="single" w:sz="4" w:space="10" w:color="5E78AD" w:themeColor="accent2"/>
      </w:pBdr>
      <w:spacing w:before="360" w:after="360"/>
    </w:pPr>
    <w:rPr>
      <w:i/>
      <w:iCs/>
      <w:color w:val="5E78AD" w:themeColor="accent2"/>
    </w:rPr>
  </w:style>
  <w:style w:type="character" w:customStyle="1" w:styleId="IntenzivencitatZnak">
    <w:name w:val="Intenziven citat Znak"/>
    <w:aliases w:val="Quote Znak"/>
    <w:basedOn w:val="Privzetapisavaodstavka"/>
    <w:link w:val="Intenzivencitat"/>
    <w:uiPriority w:val="30"/>
    <w:rsid w:val="008E3111"/>
    <w:rPr>
      <w:rFonts w:ascii="Arial" w:eastAsiaTheme="minorEastAsia" w:hAnsi="Arial"/>
      <w:i/>
      <w:iCs/>
      <w:color w:val="5E78AD" w:themeColor="accent2"/>
      <w:sz w:val="22"/>
      <w:szCs w:val="20"/>
      <w:lang w:val="en-GB"/>
    </w:rPr>
  </w:style>
  <w:style w:type="paragraph" w:customStyle="1" w:styleId="Paragraphestandard">
    <w:name w:val="[Paragraphe standard]"/>
    <w:basedOn w:val="Navaden"/>
    <w:uiPriority w:val="99"/>
    <w:rsid w:val="005808D9"/>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val="en-US"/>
    </w:rPr>
  </w:style>
  <w:style w:type="character" w:styleId="Hiperpovezava">
    <w:name w:val="Hyperlink"/>
    <w:basedOn w:val="Privzetapisavaodstavka"/>
    <w:uiPriority w:val="99"/>
    <w:unhideWhenUsed/>
    <w:qFormat/>
    <w:rsid w:val="00E4345B"/>
    <w:rPr>
      <w:color w:val="263264" w:themeColor="accent1"/>
      <w:u w:val="single"/>
    </w:rPr>
  </w:style>
  <w:style w:type="character" w:styleId="Besediloograde">
    <w:name w:val="Placeholder Text"/>
    <w:basedOn w:val="Privzetapisavaodstavka"/>
    <w:uiPriority w:val="99"/>
    <w:semiHidden/>
    <w:rsid w:val="008037E6"/>
    <w:rPr>
      <w:color w:val="808080"/>
    </w:rPr>
  </w:style>
  <w:style w:type="paragraph" w:customStyle="1" w:styleId="Informations">
    <w:name w:val="Informations"/>
    <w:basedOn w:val="Navaden"/>
    <w:rsid w:val="004F1430"/>
    <w:pPr>
      <w:spacing w:after="360"/>
      <w:jc w:val="left"/>
    </w:pPr>
  </w:style>
  <w:style w:type="paragraph" w:styleId="Datum">
    <w:name w:val="Date"/>
    <w:basedOn w:val="Navaden"/>
    <w:next w:val="Navaden"/>
    <w:link w:val="DatumZnak"/>
    <w:uiPriority w:val="99"/>
    <w:unhideWhenUsed/>
    <w:rsid w:val="00172F75"/>
    <w:pPr>
      <w:spacing w:before="200" w:line="400" w:lineRule="exact"/>
    </w:pPr>
  </w:style>
  <w:style w:type="paragraph" w:customStyle="1" w:styleId="Subject">
    <w:name w:val="Subject"/>
    <w:basedOn w:val="Navaden"/>
    <w:rsid w:val="004F1430"/>
    <w:pPr>
      <w:spacing w:before="200" w:line="220" w:lineRule="exact"/>
      <w:jc w:val="left"/>
    </w:pPr>
    <w:rPr>
      <w:b/>
    </w:rPr>
  </w:style>
  <w:style w:type="character" w:customStyle="1" w:styleId="DatumZnak">
    <w:name w:val="Datum Znak"/>
    <w:basedOn w:val="Privzetapisavaodstavka"/>
    <w:link w:val="Datum"/>
    <w:uiPriority w:val="99"/>
    <w:rsid w:val="00172F75"/>
    <w:rPr>
      <w:rFonts w:ascii="Arial" w:eastAsiaTheme="minorEastAsia" w:hAnsi="Arial"/>
      <w:color w:val="656865" w:themeColor="text2"/>
      <w:sz w:val="18"/>
      <w:szCs w:val="20"/>
      <w:lang w:val="en-GB"/>
    </w:rPr>
  </w:style>
  <w:style w:type="paragraph" w:customStyle="1" w:styleId="Document-Title">
    <w:name w:val="Document-Title"/>
    <w:qFormat/>
    <w:rsid w:val="00E02E5F"/>
    <w:pPr>
      <w:spacing w:before="1800"/>
    </w:pPr>
    <w:rPr>
      <w:rFonts w:ascii="Arial" w:hAnsi="Arial" w:cs="Arial"/>
      <w:b/>
      <w:bCs/>
      <w:color w:val="5E78AD" w:themeColor="accent2"/>
      <w:spacing w:val="5"/>
      <w:sz w:val="70"/>
      <w:szCs w:val="32"/>
      <w:lang w:val="en-US"/>
    </w:rPr>
  </w:style>
  <w:style w:type="paragraph" w:customStyle="1" w:styleId="Sous-titre1">
    <w:name w:val="Sous-titre1"/>
    <w:basedOn w:val="Navaden"/>
    <w:rsid w:val="00B919D5"/>
    <w:pPr>
      <w:widowControl w:val="0"/>
      <w:autoSpaceDE w:val="0"/>
      <w:autoSpaceDN w:val="0"/>
      <w:adjustRightInd w:val="0"/>
      <w:spacing w:after="0" w:line="288" w:lineRule="auto"/>
      <w:jc w:val="left"/>
      <w:textAlignment w:val="center"/>
    </w:pPr>
    <w:rPr>
      <w:rFonts w:eastAsiaTheme="minorHAnsi" w:cs="Arial"/>
      <w:color w:val="C5C5BD" w:themeColor="background2"/>
      <w:spacing w:val="4"/>
      <w:sz w:val="44"/>
      <w:szCs w:val="44"/>
      <w:lang w:val="en-US"/>
    </w:rPr>
  </w:style>
  <w:style w:type="paragraph" w:customStyle="1" w:styleId="DocumentTitle-Sub-title">
    <w:name w:val="Document Title - Sub-title"/>
    <w:basedOn w:val="Navaden"/>
    <w:next w:val="Document-Title"/>
    <w:qFormat/>
    <w:rsid w:val="00FE7423"/>
    <w:pPr>
      <w:widowControl w:val="0"/>
      <w:autoSpaceDE w:val="0"/>
      <w:autoSpaceDN w:val="0"/>
      <w:adjustRightInd w:val="0"/>
      <w:spacing w:before="240" w:after="0" w:line="288" w:lineRule="auto"/>
      <w:jc w:val="left"/>
      <w:textAlignment w:val="center"/>
    </w:pPr>
    <w:rPr>
      <w:rFonts w:eastAsiaTheme="minorHAnsi" w:cs="Arial"/>
      <w:b/>
      <w:bCs/>
      <w:spacing w:val="4"/>
      <w:sz w:val="44"/>
      <w:szCs w:val="44"/>
      <w:lang w:val="en-US"/>
    </w:rPr>
  </w:style>
  <w:style w:type="paragraph" w:customStyle="1" w:styleId="Document-Title-Sub-titledown">
    <w:name w:val="Document-Title - Sub-title down"/>
    <w:basedOn w:val="Sous-titre1"/>
    <w:next w:val="DocumentTitle-Sub-title"/>
    <w:qFormat/>
    <w:rsid w:val="00E52E6D"/>
    <w:rPr>
      <w:color w:val="656865" w:themeColor="text2"/>
      <w:sz w:val="36"/>
      <w:szCs w:val="36"/>
    </w:rPr>
  </w:style>
  <w:style w:type="paragraph" w:styleId="Odstavekseznama">
    <w:name w:val="List Paragraph"/>
    <w:basedOn w:val="Navaden"/>
    <w:uiPriority w:val="34"/>
    <w:qFormat/>
    <w:rsid w:val="009E6B67"/>
    <w:pPr>
      <w:ind w:left="720"/>
      <w:contextualSpacing/>
    </w:pPr>
  </w:style>
  <w:style w:type="paragraph" w:customStyle="1" w:styleId="Bulletpoint">
    <w:name w:val="Bullet point"/>
    <w:basedOn w:val="Odstavekseznama"/>
    <w:qFormat/>
    <w:rsid w:val="00FB62ED"/>
    <w:pPr>
      <w:numPr>
        <w:numId w:val="2"/>
      </w:numPr>
    </w:pPr>
  </w:style>
  <w:style w:type="paragraph" w:customStyle="1" w:styleId="Niveauducommentaire21">
    <w:name w:val="Niveau du commentaire : 21"/>
    <w:basedOn w:val="Bulletpoint"/>
    <w:uiPriority w:val="99"/>
    <w:rsid w:val="00753B15"/>
  </w:style>
  <w:style w:type="paragraph" w:styleId="Kazalovsebine1">
    <w:name w:val="toc 1"/>
    <w:basedOn w:val="Navaden"/>
    <w:next w:val="Navaden"/>
    <w:autoRedefine/>
    <w:uiPriority w:val="39"/>
    <w:unhideWhenUsed/>
    <w:rsid w:val="00F23AC3"/>
    <w:pPr>
      <w:spacing w:before="120" w:after="120"/>
      <w:jc w:val="left"/>
    </w:pPr>
    <w:rPr>
      <w:bCs/>
      <w:sz w:val="24"/>
      <w:szCs w:val="24"/>
    </w:rPr>
  </w:style>
  <w:style w:type="paragraph" w:styleId="Kazalovsebine2">
    <w:name w:val="toc 2"/>
    <w:basedOn w:val="Navaden"/>
    <w:next w:val="Navaden"/>
    <w:autoRedefine/>
    <w:uiPriority w:val="39"/>
    <w:unhideWhenUsed/>
    <w:rsid w:val="00F23AC3"/>
    <w:pPr>
      <w:spacing w:after="0"/>
      <w:ind w:left="181"/>
      <w:jc w:val="left"/>
    </w:pPr>
    <w:rPr>
      <w:bCs/>
      <w:szCs w:val="22"/>
    </w:rPr>
  </w:style>
  <w:style w:type="paragraph" w:styleId="Kazalovsebine3">
    <w:name w:val="toc 3"/>
    <w:basedOn w:val="Navaden"/>
    <w:next w:val="Navaden"/>
    <w:autoRedefine/>
    <w:uiPriority w:val="39"/>
    <w:unhideWhenUsed/>
    <w:rsid w:val="00F23AC3"/>
    <w:pPr>
      <w:spacing w:after="0"/>
      <w:ind w:left="360"/>
      <w:jc w:val="left"/>
    </w:pPr>
    <w:rPr>
      <w:rFonts w:asciiTheme="minorHAnsi" w:hAnsiTheme="minorHAnsi"/>
      <w:sz w:val="22"/>
      <w:szCs w:val="22"/>
    </w:rPr>
  </w:style>
  <w:style w:type="paragraph" w:styleId="Kazalovsebine4">
    <w:name w:val="toc 4"/>
    <w:basedOn w:val="Navaden"/>
    <w:next w:val="Navaden"/>
    <w:autoRedefine/>
    <w:uiPriority w:val="39"/>
    <w:unhideWhenUsed/>
    <w:rsid w:val="00F23AC3"/>
    <w:pPr>
      <w:spacing w:after="0"/>
      <w:ind w:left="540"/>
      <w:jc w:val="left"/>
    </w:pPr>
    <w:rPr>
      <w:rFonts w:asciiTheme="minorHAnsi" w:hAnsiTheme="minorHAnsi"/>
    </w:rPr>
  </w:style>
  <w:style w:type="paragraph" w:styleId="Kazalovsebine5">
    <w:name w:val="toc 5"/>
    <w:basedOn w:val="Navaden"/>
    <w:next w:val="Navaden"/>
    <w:autoRedefine/>
    <w:uiPriority w:val="39"/>
    <w:unhideWhenUsed/>
    <w:rsid w:val="00F23AC3"/>
    <w:pPr>
      <w:spacing w:after="0"/>
      <w:ind w:left="720"/>
      <w:jc w:val="left"/>
    </w:pPr>
    <w:rPr>
      <w:rFonts w:asciiTheme="minorHAnsi" w:hAnsiTheme="minorHAnsi"/>
    </w:rPr>
  </w:style>
  <w:style w:type="paragraph" w:styleId="Kazalovsebine6">
    <w:name w:val="toc 6"/>
    <w:basedOn w:val="Navaden"/>
    <w:next w:val="Navaden"/>
    <w:autoRedefine/>
    <w:uiPriority w:val="39"/>
    <w:unhideWhenUsed/>
    <w:rsid w:val="00F23AC3"/>
    <w:pPr>
      <w:spacing w:after="0"/>
      <w:ind w:left="900"/>
      <w:jc w:val="left"/>
    </w:pPr>
    <w:rPr>
      <w:rFonts w:asciiTheme="minorHAnsi" w:hAnsiTheme="minorHAnsi"/>
    </w:rPr>
  </w:style>
  <w:style w:type="paragraph" w:styleId="Kazalovsebine7">
    <w:name w:val="toc 7"/>
    <w:basedOn w:val="Navaden"/>
    <w:next w:val="Navaden"/>
    <w:autoRedefine/>
    <w:uiPriority w:val="39"/>
    <w:unhideWhenUsed/>
    <w:rsid w:val="00F23AC3"/>
    <w:pPr>
      <w:spacing w:after="0"/>
      <w:ind w:left="1080"/>
      <w:jc w:val="left"/>
    </w:pPr>
    <w:rPr>
      <w:rFonts w:asciiTheme="minorHAnsi" w:hAnsiTheme="minorHAnsi"/>
    </w:rPr>
  </w:style>
  <w:style w:type="paragraph" w:styleId="Kazalovsebine8">
    <w:name w:val="toc 8"/>
    <w:basedOn w:val="Navaden"/>
    <w:next w:val="Navaden"/>
    <w:autoRedefine/>
    <w:uiPriority w:val="39"/>
    <w:unhideWhenUsed/>
    <w:rsid w:val="00F23AC3"/>
    <w:pPr>
      <w:spacing w:after="0"/>
      <w:ind w:left="1260"/>
      <w:jc w:val="left"/>
    </w:pPr>
    <w:rPr>
      <w:rFonts w:asciiTheme="minorHAnsi" w:hAnsiTheme="minorHAnsi"/>
    </w:rPr>
  </w:style>
  <w:style w:type="paragraph" w:styleId="Kazalovsebine9">
    <w:name w:val="toc 9"/>
    <w:basedOn w:val="Navaden"/>
    <w:next w:val="Navaden"/>
    <w:autoRedefine/>
    <w:uiPriority w:val="39"/>
    <w:unhideWhenUsed/>
    <w:rsid w:val="00F23AC3"/>
    <w:pPr>
      <w:spacing w:after="0"/>
      <w:ind w:left="1440"/>
      <w:jc w:val="left"/>
    </w:pPr>
    <w:rPr>
      <w:rFonts w:asciiTheme="minorHAnsi" w:hAnsiTheme="minorHAnsi"/>
    </w:rPr>
  </w:style>
  <w:style w:type="paragraph" w:styleId="NaslovTOC">
    <w:name w:val="TOC Heading"/>
    <w:basedOn w:val="Naslov1"/>
    <w:next w:val="Navaden"/>
    <w:uiPriority w:val="39"/>
    <w:unhideWhenUsed/>
    <w:qFormat/>
    <w:rsid w:val="00F23AC3"/>
    <w:pPr>
      <w:keepNext/>
      <w:keepLines/>
      <w:spacing w:before="480" w:after="0" w:line="276" w:lineRule="auto"/>
      <w:jc w:val="left"/>
      <w:outlineLvl w:val="9"/>
    </w:pPr>
    <w:rPr>
      <w:rFonts w:asciiTheme="majorHAnsi" w:eastAsiaTheme="majorEastAsia" w:hAnsiTheme="majorHAnsi" w:cstheme="majorBidi"/>
      <w:caps w:val="0"/>
      <w:color w:val="1C254A" w:themeColor="accent1" w:themeShade="BF"/>
      <w:spacing w:val="0"/>
      <w:sz w:val="28"/>
      <w:szCs w:val="28"/>
      <w:lang w:val="fr-FR" w:eastAsia="fr-FR"/>
    </w:rPr>
  </w:style>
  <w:style w:type="paragraph" w:styleId="Sprotnaopomba-besedilo">
    <w:name w:val="footnote text"/>
    <w:basedOn w:val="Navaden"/>
    <w:link w:val="Sprotnaopomba-besediloZnak"/>
    <w:uiPriority w:val="99"/>
    <w:unhideWhenUsed/>
    <w:rsid w:val="00B37BC9"/>
    <w:pPr>
      <w:spacing w:after="0" w:line="240" w:lineRule="auto"/>
    </w:pPr>
    <w:rPr>
      <w:sz w:val="16"/>
      <w:szCs w:val="16"/>
      <w:lang w:val="nl-BE"/>
    </w:rPr>
  </w:style>
  <w:style w:type="character" w:customStyle="1" w:styleId="Sprotnaopomba-besediloZnak">
    <w:name w:val="Sprotna opomba - besedilo Znak"/>
    <w:basedOn w:val="Privzetapisavaodstavka"/>
    <w:link w:val="Sprotnaopomba-besedilo"/>
    <w:uiPriority w:val="99"/>
    <w:rsid w:val="00B37BC9"/>
    <w:rPr>
      <w:rFonts w:ascii="Arial" w:eastAsiaTheme="minorEastAsia" w:hAnsi="Arial"/>
      <w:color w:val="656865" w:themeColor="text2"/>
      <w:sz w:val="16"/>
      <w:szCs w:val="16"/>
      <w:lang w:val="nl-BE"/>
    </w:rPr>
  </w:style>
  <w:style w:type="character" w:styleId="Sprotnaopomba-sklic">
    <w:name w:val="footnote reference"/>
    <w:basedOn w:val="Privzetapisavaodstavka"/>
    <w:uiPriority w:val="99"/>
    <w:unhideWhenUsed/>
    <w:rsid w:val="00DB315D"/>
    <w:rPr>
      <w:vertAlign w:val="superscript"/>
    </w:rPr>
  </w:style>
  <w:style w:type="character" w:styleId="Krepko">
    <w:name w:val="Strong"/>
    <w:basedOn w:val="Privzetapisavaodstavka"/>
    <w:uiPriority w:val="22"/>
    <w:qFormat/>
    <w:rsid w:val="000D0EC9"/>
    <w:rPr>
      <w:b/>
      <w:bCs/>
    </w:rPr>
  </w:style>
  <w:style w:type="character" w:styleId="HTMLvzorec">
    <w:name w:val="HTML Sample"/>
    <w:basedOn w:val="Privzetapisavaodstavka"/>
    <w:uiPriority w:val="99"/>
    <w:semiHidden/>
    <w:unhideWhenUsed/>
    <w:rsid w:val="000D0EC9"/>
    <w:rPr>
      <w:rFonts w:ascii="Arial" w:hAnsi="Arial"/>
      <w:sz w:val="24"/>
      <w:szCs w:val="24"/>
    </w:rPr>
  </w:style>
  <w:style w:type="character" w:styleId="HTMLkoda">
    <w:name w:val="HTML Code"/>
    <w:basedOn w:val="Privzetapisavaodstavka"/>
    <w:uiPriority w:val="99"/>
    <w:semiHidden/>
    <w:unhideWhenUsed/>
    <w:rsid w:val="000D0EC9"/>
    <w:rPr>
      <w:rFonts w:ascii="Arial" w:hAnsi="Arial"/>
      <w:sz w:val="20"/>
      <w:szCs w:val="20"/>
    </w:rPr>
  </w:style>
  <w:style w:type="paragraph" w:customStyle="1" w:styleId="Numberedlist">
    <w:name w:val="Numbered list"/>
    <w:basedOn w:val="Odstavekseznama"/>
    <w:qFormat/>
    <w:rsid w:val="007B5BF7"/>
    <w:pPr>
      <w:numPr>
        <w:numId w:val="5"/>
      </w:numPr>
    </w:pPr>
  </w:style>
  <w:style w:type="paragraph" w:customStyle="1" w:styleId="DocumentTitleDescription">
    <w:name w:val="Document Title Description"/>
    <w:basedOn w:val="Sous-titre1"/>
    <w:qFormat/>
    <w:rsid w:val="000D665C"/>
    <w:rPr>
      <w:color w:val="656865" w:themeColor="text2"/>
      <w:sz w:val="36"/>
      <w:szCs w:val="36"/>
    </w:rPr>
  </w:style>
  <w:style w:type="paragraph" w:customStyle="1" w:styleId="Title-TOC">
    <w:name w:val="Title - TOC"/>
    <w:qFormat/>
    <w:rsid w:val="007717AB"/>
    <w:rPr>
      <w:rFonts w:ascii="Arial" w:hAnsi="Arial" w:cs="Arial"/>
      <w:b/>
      <w:bCs/>
      <w:caps/>
      <w:color w:val="5E78AD" w:themeColor="accent2"/>
      <w:spacing w:val="5"/>
      <w:sz w:val="32"/>
      <w:szCs w:val="32"/>
      <w:lang w:val="en-US"/>
    </w:rPr>
  </w:style>
  <w:style w:type="numbering" w:customStyle="1" w:styleId="COST">
    <w:name w:val="COST"/>
    <w:uiPriority w:val="99"/>
    <w:rsid w:val="00FB62ED"/>
    <w:pPr>
      <w:numPr>
        <w:numId w:val="3"/>
      </w:numPr>
    </w:pPr>
  </w:style>
  <w:style w:type="numbering" w:customStyle="1" w:styleId="COSTNUM">
    <w:name w:val="COST NUM"/>
    <w:uiPriority w:val="99"/>
    <w:rsid w:val="007B5BF7"/>
    <w:pPr>
      <w:numPr>
        <w:numId w:val="4"/>
      </w:numPr>
    </w:pPr>
  </w:style>
  <w:style w:type="paragraph" w:customStyle="1" w:styleId="Title2">
    <w:name w:val="Title 2"/>
    <w:basedOn w:val="Navaden"/>
    <w:link w:val="Title2Char"/>
    <w:qFormat/>
    <w:rsid w:val="00E26946"/>
    <w:pPr>
      <w:spacing w:after="0" w:line="240" w:lineRule="auto"/>
      <w:jc w:val="left"/>
    </w:pPr>
    <w:rPr>
      <w:rFonts w:eastAsia="MS Mincho" w:cs="Times New Roman"/>
      <w:b/>
      <w:color w:val="69395D"/>
      <w:sz w:val="24"/>
      <w:szCs w:val="24"/>
    </w:rPr>
  </w:style>
  <w:style w:type="character" w:customStyle="1" w:styleId="Title2Char">
    <w:name w:val="Title 2 Char"/>
    <w:link w:val="Title2"/>
    <w:rsid w:val="00E26946"/>
    <w:rPr>
      <w:rFonts w:ascii="Arial" w:eastAsia="MS Mincho" w:hAnsi="Arial" w:cs="Times New Roman"/>
      <w:b/>
      <w:color w:val="69395D"/>
      <w:lang w:val="en-GB"/>
    </w:rPr>
  </w:style>
  <w:style w:type="paragraph" w:customStyle="1" w:styleId="Title1COST">
    <w:name w:val="Title_1_COST"/>
    <w:basedOn w:val="Naslov"/>
    <w:rsid w:val="00E26946"/>
    <w:pPr>
      <w:ind w:left="360" w:hanging="360"/>
      <w:contextualSpacing w:val="0"/>
      <w:jc w:val="left"/>
    </w:pPr>
    <w:rPr>
      <w:rFonts w:eastAsia="Meiryo" w:cs="Times New Roman"/>
      <w:b/>
      <w:color w:val="2A678B"/>
      <w:spacing w:val="0"/>
      <w:kern w:val="48"/>
      <w:sz w:val="28"/>
      <w:szCs w:val="60"/>
    </w:rPr>
  </w:style>
  <w:style w:type="table" w:styleId="Tabela-mrea">
    <w:name w:val="Table Grid"/>
    <w:basedOn w:val="Navadnatabela"/>
    <w:uiPriority w:val="39"/>
    <w:rsid w:val="00E26946"/>
    <w:rPr>
      <w:rFonts w:ascii="Cambria" w:eastAsia="MS Mincho" w:hAnsi="Cambria"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4672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OST 1">
      <a:dk1>
        <a:srgbClr val="000000"/>
      </a:dk1>
      <a:lt1>
        <a:srgbClr val="FFFFFF"/>
      </a:lt1>
      <a:dk2>
        <a:srgbClr val="656865"/>
      </a:dk2>
      <a:lt2>
        <a:srgbClr val="C5C5BD"/>
      </a:lt2>
      <a:accent1>
        <a:srgbClr val="263264"/>
      </a:accent1>
      <a:accent2>
        <a:srgbClr val="5E78AD"/>
      </a:accent2>
      <a:accent3>
        <a:srgbClr val="5B2650"/>
      </a:accent3>
      <a:accent4>
        <a:srgbClr val="99245C"/>
      </a:accent4>
      <a:accent5>
        <a:srgbClr val="E5713E"/>
      </a:accent5>
      <a:accent6>
        <a:srgbClr val="00AB9D"/>
      </a:accent6>
      <a:hlink>
        <a:srgbClr val="C8C3B1"/>
      </a:hlink>
      <a:folHlink>
        <a:srgbClr val="8A8F8C"/>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a2230d6-0d0c-4546-8094-a726af8412ad" ContentTypeId="0x01010035D388ED9E6CB948B63D365BE3776A4F" PreviousValue="true"/>
</file>

<file path=customXml/item2.xml><?xml version="1.0" encoding="utf-8"?>
<p:properties xmlns:p="http://schemas.microsoft.com/office/2006/metadata/properties" xmlns:xsi="http://www.w3.org/2001/XMLSchema-instance" xmlns:pc="http://schemas.microsoft.com/office/infopath/2007/PartnerControls">
  <documentManagement>
    <TaxCatchAll xmlns="18ee8b33-332d-4d78-a1fb-213112cbf5c9"/>
    <nae73cb6769f4a7f9271b45194c652bb xmlns="18ee8b33-332d-4d78-a1fb-213112cbf5c9">
      <Terms xmlns="http://schemas.microsoft.com/office/infopath/2007/PartnerControls"/>
    </nae73cb6769f4a7f9271b45194c652bb>
    <i00b8442aa7a4cf9a71eeeca23012327 xmlns="18ee8b33-332d-4d78-a1fb-213112cbf5c9">
      <Terms xmlns="http://schemas.microsoft.com/office/infopath/2007/PartnerControls"/>
    </i00b8442aa7a4cf9a71eeeca23012327>
    <Document_x0020_Status xmlns="18ee8b33-332d-4d78-a1fb-213112cbf5c9" xsi:nil="true"/>
    <Confidential1 xmlns="18ee8b33-332d-4d78-a1fb-213112cbf5c9">false</Confidential1>
    <fca2ec1b797f4b5f8f8c86f331133d6a xmlns="18ee8b33-332d-4d78-a1fb-213112cbf5c9">
      <Terms xmlns="http://schemas.microsoft.com/office/infopath/2007/PartnerControls"/>
    </fca2ec1b797f4b5f8f8c86f331133d6a>
    <Obsolete xmlns="18ee8b33-332d-4d78-a1fb-213112cbf5c9">false</Obsolete>
  </documentManagement>
</p:properties>
</file>

<file path=customXml/item3.xml><?xml version="1.0" encoding="utf-8"?>
<ct:contentTypeSchema xmlns:ct="http://schemas.microsoft.com/office/2006/metadata/contentType" xmlns:ma="http://schemas.microsoft.com/office/2006/metadata/properties/metaAttributes" ct:_="" ma:_="" ma:contentTypeName="General" ma:contentTypeID="0x01010035D388ED9E6CB948B63D365BE3776A4F00DDA454755E712545887D3B90EF8E1481" ma:contentTypeVersion="19" ma:contentTypeDescription="" ma:contentTypeScope="" ma:versionID="2b7028f73fadf451d5788e244c8b97a1">
  <xsd:schema xmlns:xsd="http://www.w3.org/2001/XMLSchema" xmlns:xs="http://www.w3.org/2001/XMLSchema" xmlns:p="http://schemas.microsoft.com/office/2006/metadata/properties" xmlns:ns1="http://schemas.microsoft.com/sharepoint/v3" xmlns:ns2="18ee8b33-332d-4d78-a1fb-213112cbf5c9" targetNamespace="http://schemas.microsoft.com/office/2006/metadata/properties" ma:root="true" ma:fieldsID="1f521c3e96c143e945bf1b54bb1dffe9" ns1:_="" ns2:_="">
    <xsd:import namespace="http://schemas.microsoft.com/sharepoint/v3"/>
    <xsd:import namespace="18ee8b33-332d-4d78-a1fb-213112cbf5c9"/>
    <xsd:element name="properties">
      <xsd:complexType>
        <xsd:sequence>
          <xsd:element name="documentManagement">
            <xsd:complexType>
              <xsd:all>
                <xsd:element ref="ns2:Document_x0020_Status" minOccurs="0"/>
                <xsd:element ref="ns2:Confidential1" minOccurs="0"/>
                <xsd:element ref="ns2:i00b8442aa7a4cf9a71eeeca23012327" minOccurs="0"/>
                <xsd:element ref="ns2:TaxCatchAll" minOccurs="0"/>
                <xsd:element ref="ns2:TaxCatchAllLabel" minOccurs="0"/>
                <xsd:element ref="ns2:nae73cb6769f4a7f9271b45194c652bb" minOccurs="0"/>
                <xsd:element ref="ns2:fca2ec1b797f4b5f8f8c86f331133d6a" minOccurs="0"/>
                <xsd:element ref="ns1:_dlc_Exempt" minOccurs="0"/>
                <xsd:element ref="ns2:Obso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ee8b33-332d-4d78-a1fb-213112cbf5c9" elementFormDefault="qualified">
    <xsd:import namespace="http://schemas.microsoft.com/office/2006/documentManagement/types"/>
    <xsd:import namespace="http://schemas.microsoft.com/office/infopath/2007/PartnerControls"/>
    <xsd:element name="Document_x0020_Status" ma:index="2" nillable="true" ma:displayName="Document Status" ma:format="Dropdown" ma:hidden="true" ma:internalName="Document_x0020_Status" ma:readOnly="false">
      <xsd:simpleType>
        <xsd:restriction base="dms:Choice">
          <xsd:enumeration value="draft"/>
          <xsd:enumeration value="final"/>
          <xsd:enumeration value="archived"/>
          <xsd:enumeration value="obsolete"/>
        </xsd:restriction>
      </xsd:simpleType>
    </xsd:element>
    <xsd:element name="Confidential1" ma:index="3" nillable="true" ma:displayName="Confidential" ma:default="0" ma:internalName="Confidential1">
      <xsd:simpleType>
        <xsd:restriction base="dms:Boolean"/>
      </xsd:simpleType>
    </xsd:element>
    <xsd:element name="i00b8442aa7a4cf9a71eeeca23012327" ma:index="10" nillable="true" ma:taxonomy="true" ma:internalName="i00b8442aa7a4cf9a71eeeca23012327" ma:taxonomyFieldName="Process" ma:displayName="Process" ma:default="" ma:fieldId="{200b8442-aa7a-4cf9-a71e-eeca23012327}" ma:sspId="4a7baec1-b397-4109-93fa-ea88b862dbf3" ma:termSetId="66a439be-75ba-468c-a36c-dd8954a0c2a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6a75920-f489-4577-ab8d-ff3af16ce3ea}" ma:internalName="TaxCatchAll" ma:showField="CatchAllData" ma:web="02bccdc8-9e7c-46be-b168-962db06f79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6a75920-f489-4577-ab8d-ff3af16ce3ea}" ma:internalName="TaxCatchAllLabel" ma:readOnly="true" ma:showField="CatchAllDataLabel" ma:web="02bccdc8-9e7c-46be-b168-962db06f7955">
      <xsd:complexType>
        <xsd:complexContent>
          <xsd:extension base="dms:MultiChoiceLookup">
            <xsd:sequence>
              <xsd:element name="Value" type="dms:Lookup" maxOccurs="unbounded" minOccurs="0" nillable="true"/>
            </xsd:sequence>
          </xsd:extension>
        </xsd:complexContent>
      </xsd:complexType>
    </xsd:element>
    <xsd:element name="nae73cb6769f4a7f9271b45194c652bb" ma:index="14" nillable="true" ma:taxonomy="true" ma:internalName="nae73cb6769f4a7f9271b45194c652bb" ma:taxonomyFieldName="Stakeholders" ma:displayName="Stakeholders" ma:default="" ma:fieldId="{7ae73cb6-769f-4a7f-9271-b45194c652bb}" ma:sspId="4a7baec1-b397-4109-93fa-ea88b862dbf3" ma:termSetId="f871fab3-8e32-440a-a506-5fc1f2fc552e" ma:anchorId="00000000-0000-0000-0000-000000000000" ma:open="false" ma:isKeyword="false">
      <xsd:complexType>
        <xsd:sequence>
          <xsd:element ref="pc:Terms" minOccurs="0" maxOccurs="1"/>
        </xsd:sequence>
      </xsd:complexType>
    </xsd:element>
    <xsd:element name="fca2ec1b797f4b5f8f8c86f331133d6a" ma:index="16" nillable="true" ma:taxonomy="true" ma:internalName="fca2ec1b797f4b5f8f8c86f331133d6a" ma:taxonomyFieldName="Doument_x0020_Type" ma:displayName="Type of Document" ma:readOnly="false" ma:default="" ma:fieldId="{fca2ec1b-797f-4b5f-8f8c-86f331133d6a}" ma:sspId="4a7baec1-b397-4109-93fa-ea88b862dbf3" ma:termSetId="9f8f421d-ea42-4e6f-856d-3cf058b71e97" ma:anchorId="00000000-0000-0000-0000-000000000000" ma:open="false" ma:isKeyword="false">
      <xsd:complexType>
        <xsd:sequence>
          <xsd:element ref="pc:Terms" minOccurs="0" maxOccurs="1"/>
        </xsd:sequence>
      </xsd:complexType>
    </xsd:element>
    <xsd:element name="Obsolete" ma:index="20" nillable="true" ma:displayName="Obsolete" ma:default="0" ma:internalName="Obsole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General</p:Name>
  <p:Description/>
  <p:Statement/>
  <p:PolicyItems>
    <p:PolicyItem featureId="Microsoft.Office.RecordsManagement.PolicyFeatures.PolicyAudit" staticId="0x01010035D388ED9E6CB948B63D365BE3776A4F00DDA454755E712545887D3B90EF8E1481|1665009279" UniqueId="4df1dcc4-a014-4fbd-9954-56671f52bf11">
      <p:Name>Auditing</p:Name>
      <p:Description>Audits user actions on documents and list items to the Audit Log.</p:Description>
      <p:CustomData>
        <Audit>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6FCFDFE-34E0-4BF4-9D0C-E9A7BD89D285}">
  <ds:schemaRefs>
    <ds:schemaRef ds:uri="Microsoft.SharePoint.Taxonomy.ContentTypeSync"/>
  </ds:schemaRefs>
</ds:datastoreItem>
</file>

<file path=customXml/itemProps2.xml><?xml version="1.0" encoding="utf-8"?>
<ds:datastoreItem xmlns:ds="http://schemas.openxmlformats.org/officeDocument/2006/customXml" ds:itemID="{BB42FEB8-477B-4856-B54A-DEFEE3AB4638}">
  <ds:schemaRefs>
    <ds:schemaRef ds:uri="http://schemas.microsoft.com/office/2006/metadata/properties"/>
    <ds:schemaRef ds:uri="http://schemas.microsoft.com/office/infopath/2007/PartnerControls"/>
    <ds:schemaRef ds:uri="18ee8b33-332d-4d78-a1fb-213112cbf5c9"/>
  </ds:schemaRefs>
</ds:datastoreItem>
</file>

<file path=customXml/itemProps3.xml><?xml version="1.0" encoding="utf-8"?>
<ds:datastoreItem xmlns:ds="http://schemas.openxmlformats.org/officeDocument/2006/customXml" ds:itemID="{9D1FB26D-D9C7-47EA-8343-DC52F4442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ee8b33-332d-4d78-a1fb-213112cbf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B71C78-ADDB-493E-9C10-852C6505300A}">
  <ds:schemaRefs>
    <ds:schemaRef ds:uri="office.server.policy"/>
  </ds:schemaRefs>
</ds:datastoreItem>
</file>

<file path=customXml/itemProps5.xml><?xml version="1.0" encoding="utf-8"?>
<ds:datastoreItem xmlns:ds="http://schemas.openxmlformats.org/officeDocument/2006/customXml" ds:itemID="{A61591CA-50F3-4536-AE67-15E345F833C7}">
  <ds:schemaRefs>
    <ds:schemaRef ds:uri="http://schemas.microsoft.com/sharepoint/v3/contenttype/forms"/>
  </ds:schemaRefs>
</ds:datastoreItem>
</file>

<file path=customXml/itemProps6.xml><?xml version="1.0" encoding="utf-8"?>
<ds:datastoreItem xmlns:ds="http://schemas.openxmlformats.org/officeDocument/2006/customXml" ds:itemID="{1A4D510B-2B88-4F57-8C8D-847689062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1443</Words>
  <Characters>8227</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Report-memo-simple-cover</vt:lpstr>
      <vt:lpstr>Report-memo-simple-cover</vt:lpstr>
    </vt:vector>
  </TitlesOfParts>
  <Company/>
  <LinksUpToDate>false</LinksUpToDate>
  <CharactersWithSpaces>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Report-memo-simple-cover</dc:title>
  <dc:creator>Gabriela Cristea</dc:creator>
  <cp:lastModifiedBy>Urška VB</cp:lastModifiedBy>
  <cp:revision>2</cp:revision>
  <cp:lastPrinted>2016-11-07T11:47:00Z</cp:lastPrinted>
  <dcterms:created xsi:type="dcterms:W3CDTF">2018-11-02T08:17:00Z</dcterms:created>
  <dcterms:modified xsi:type="dcterms:W3CDTF">2018-11-02T08:17:00Z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0x01010035D388ED9E6CB948B63D365BE3776A4F00DDA454755E712545887D3B90EF8E1481</vt:lpwstr>
  </property>
  <property fmtid="{D5CDD505-2E9C-101B-9397-08002B2CF9AE}" pid="3" name="j183d2c7879f46cdad1b7768093a4c45">
    <vt:lpwstr/>
  </property>
  <property fmtid="{D5CDD505-2E9C-101B-9397-08002B2CF9AE}" pid="4" name="Meeting_x002F_Event_x0020_Type">
    <vt:lpwstr/>
  </property>
  <property fmtid="{D5CDD505-2E9C-101B-9397-08002B2CF9AE}" pid="5" name="h683663ddb1648d98d5d829c69644b8b">
    <vt:lpwstr/>
  </property>
  <property fmtid="{D5CDD505-2E9C-101B-9397-08002B2CF9AE}" pid="6" name="m6dd6d7cf7dd434e9aac1e6dc36a87ef">
    <vt:lpwstr/>
  </property>
  <property fmtid="{D5CDD505-2E9C-101B-9397-08002B2CF9AE}" pid="7" name="Process">
    <vt:lpwstr/>
  </property>
  <property fmtid="{D5CDD505-2E9C-101B-9397-08002B2CF9AE}" pid="8" name="Stakeholders">
    <vt:lpwstr/>
  </property>
  <property fmtid="{D5CDD505-2E9C-101B-9397-08002B2CF9AE}" pid="9" name="Unit">
    <vt:lpwstr/>
  </property>
  <property fmtid="{D5CDD505-2E9C-101B-9397-08002B2CF9AE}" pid="10" name="Geographic_x0020_Location">
    <vt:lpwstr/>
  </property>
  <property fmtid="{D5CDD505-2E9C-101B-9397-08002B2CF9AE}" pid="11" name="Doument_x0020_Type">
    <vt:lpwstr/>
  </property>
  <property fmtid="{D5CDD505-2E9C-101B-9397-08002B2CF9AE}" pid="12" name="k9326ab33cb644c9beade3642bf61ccd">
    <vt:lpwstr/>
  </property>
  <property fmtid="{D5CDD505-2E9C-101B-9397-08002B2CF9AE}" pid="13" name="Domain">
    <vt:lpwstr/>
  </property>
  <property fmtid="{D5CDD505-2E9C-101B-9397-08002B2CF9AE}" pid="14" name="Budget_x0020_Line">
    <vt:lpwstr/>
  </property>
  <property fmtid="{D5CDD505-2E9C-101B-9397-08002B2CF9AE}" pid="15" name="kcdfa49aeaa74483b65ac40edc00c77e">
    <vt:lpwstr/>
  </property>
  <property fmtid="{D5CDD505-2E9C-101B-9397-08002B2CF9AE}" pid="16" name="Meeting/Event Type">
    <vt:lpwstr/>
  </property>
  <property fmtid="{D5CDD505-2E9C-101B-9397-08002B2CF9AE}" pid="17" name="Budget Line">
    <vt:lpwstr/>
  </property>
  <property fmtid="{D5CDD505-2E9C-101B-9397-08002B2CF9AE}" pid="18" name="Geographic Location">
    <vt:lpwstr/>
  </property>
  <property fmtid="{D5CDD505-2E9C-101B-9397-08002B2CF9AE}" pid="19" name="Doument Type">
    <vt:lpwstr/>
  </property>
</Properties>
</file>